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C772" w14:textId="761D6210" w:rsidR="003F151E" w:rsidRPr="00CB35FC" w:rsidRDefault="00B818CE" w:rsidP="00CB35FC">
      <w:pPr>
        <w:pStyle w:val="Heading1"/>
      </w:pPr>
      <w:bookmarkStart w:id="0" w:name="_Toc432630675"/>
      <w:r w:rsidRPr="00FD3BAE">
        <w:t>Standard Operating Procedure (SOP)</w:t>
      </w:r>
      <w:bookmarkEnd w:id="0"/>
      <w:r w:rsidRPr="00FD3BAE">
        <w:t xml:space="preserve"> </w:t>
      </w:r>
    </w:p>
    <w:p w14:paraId="1FEA4940" w14:textId="45FFA479" w:rsidR="003F151E" w:rsidRDefault="00B818CE" w:rsidP="00FD3BAE">
      <w:pPr>
        <w:rPr>
          <w:rFonts w:ascii="Arial" w:hAnsi="Arial"/>
        </w:rPr>
      </w:pPr>
      <w:r w:rsidRPr="00FD3BAE">
        <w:rPr>
          <w:rFonts w:ascii="Arial" w:hAnsi="Arial"/>
        </w:rPr>
        <w:t xml:space="preserve">The pharmacy should have a SOP in place for all the services the pharmacy </w:t>
      </w:r>
      <w:r w:rsidR="00CB35FC">
        <w:rPr>
          <w:rFonts w:ascii="Arial" w:hAnsi="Arial"/>
        </w:rPr>
        <w:t xml:space="preserve">provides, including providing </w:t>
      </w:r>
      <w:proofErr w:type="spellStart"/>
      <w:r w:rsidR="00CB35FC">
        <w:rPr>
          <w:rFonts w:ascii="Arial" w:hAnsi="Arial"/>
        </w:rPr>
        <w:t>Varenicline</w:t>
      </w:r>
      <w:proofErr w:type="spellEnd"/>
      <w:r w:rsidR="00CB35FC">
        <w:rPr>
          <w:rFonts w:ascii="Arial" w:hAnsi="Arial"/>
        </w:rPr>
        <w:t xml:space="preserve"> according to the PGD</w:t>
      </w:r>
      <w:r w:rsidRPr="00FD3BAE">
        <w:rPr>
          <w:rFonts w:ascii="Arial" w:hAnsi="Arial"/>
        </w:rPr>
        <w:t xml:space="preserve">. SOPs are necessary to demonstrate to commissioners that the pharmacy is meeting the requirements of the service and to ensure that the service is provided in a safe and consistent way. </w:t>
      </w:r>
    </w:p>
    <w:p w14:paraId="4237E029" w14:textId="77777777" w:rsidR="003F151E" w:rsidRDefault="003F151E" w:rsidP="00FD3BAE">
      <w:pPr>
        <w:rPr>
          <w:rFonts w:ascii="Arial" w:hAnsi="Arial"/>
        </w:rPr>
      </w:pPr>
    </w:p>
    <w:p w14:paraId="3D905F26" w14:textId="77777777" w:rsidR="003E32F5" w:rsidRDefault="00B818CE" w:rsidP="00373051">
      <w:pPr>
        <w:rPr>
          <w:rFonts w:ascii="Arial" w:hAnsi="Arial"/>
        </w:rPr>
      </w:pPr>
      <w:r w:rsidRPr="00FD3BAE">
        <w:rPr>
          <w:rFonts w:ascii="Arial" w:hAnsi="Arial"/>
        </w:rPr>
        <w:t>A template SOP for</w:t>
      </w:r>
      <w:r w:rsidR="003F151E">
        <w:rPr>
          <w:rFonts w:ascii="Arial" w:hAnsi="Arial"/>
        </w:rPr>
        <w:t xml:space="preserve"> the service is available on</w:t>
      </w:r>
      <w:r w:rsidR="00CB35FC">
        <w:rPr>
          <w:rFonts w:ascii="Arial" w:hAnsi="Arial"/>
        </w:rPr>
        <w:t xml:space="preserve"> the following pages.</w:t>
      </w:r>
      <w:r w:rsidRPr="00FD3BAE">
        <w:rPr>
          <w:rFonts w:ascii="Arial" w:hAnsi="Arial"/>
        </w:rPr>
        <w:t xml:space="preserve"> </w:t>
      </w:r>
    </w:p>
    <w:p w14:paraId="7E0D4C9A" w14:textId="77777777" w:rsidR="003E32F5" w:rsidRDefault="003E32F5" w:rsidP="00373051">
      <w:pPr>
        <w:rPr>
          <w:rFonts w:ascii="Arial" w:hAnsi="Arial"/>
        </w:rPr>
      </w:pPr>
    </w:p>
    <w:p w14:paraId="42A9D06E" w14:textId="669F0846" w:rsidR="00373051" w:rsidRPr="00373051" w:rsidRDefault="00373051" w:rsidP="00373051">
      <w:pPr>
        <w:rPr>
          <w:rFonts w:ascii="Arial" w:hAnsi="Arial"/>
        </w:rPr>
      </w:pPr>
      <w:r>
        <w:rPr>
          <w:rFonts w:ascii="Arial" w:hAnsi="Arial"/>
          <w:b/>
        </w:rPr>
        <w:t xml:space="preserve">Disclaimer: </w:t>
      </w:r>
      <w:r>
        <w:rPr>
          <w:rFonts w:ascii="Arial" w:hAnsi="Arial"/>
        </w:rPr>
        <w:t>This template is an example</w:t>
      </w:r>
      <w:r w:rsidRPr="00373051">
        <w:rPr>
          <w:rFonts w:ascii="Arial" w:hAnsi="Arial"/>
        </w:rPr>
        <w:t xml:space="preserve"> SOP for</w:t>
      </w:r>
      <w:r w:rsidR="00CB35FC">
        <w:rPr>
          <w:rFonts w:ascii="Arial" w:hAnsi="Arial"/>
        </w:rPr>
        <w:t xml:space="preserve"> a </w:t>
      </w:r>
      <w:proofErr w:type="spellStart"/>
      <w:r w:rsidR="00CB35FC">
        <w:rPr>
          <w:rFonts w:ascii="Arial" w:hAnsi="Arial"/>
        </w:rPr>
        <w:t>Varenicline</w:t>
      </w:r>
      <w:proofErr w:type="spellEnd"/>
      <w:r w:rsidR="00CB35FC">
        <w:rPr>
          <w:rFonts w:ascii="Arial" w:hAnsi="Arial"/>
        </w:rPr>
        <w:t xml:space="preserve"> PG</w:t>
      </w:r>
      <w:r w:rsidR="003F5318">
        <w:rPr>
          <w:rFonts w:ascii="Arial" w:hAnsi="Arial"/>
        </w:rPr>
        <w:t>D</w:t>
      </w:r>
      <w:r>
        <w:rPr>
          <w:rFonts w:ascii="Arial" w:hAnsi="Arial"/>
        </w:rPr>
        <w:t xml:space="preserve">. Pharmacies may adapt to suit </w:t>
      </w:r>
      <w:r w:rsidRPr="00373051">
        <w:rPr>
          <w:rFonts w:ascii="Arial" w:hAnsi="Arial"/>
        </w:rPr>
        <w:t>local needs or alternatively develop their own. Each pharmacy is responsible for producing their own SOP which conforms</w:t>
      </w:r>
      <w:r>
        <w:rPr>
          <w:rFonts w:ascii="Arial" w:hAnsi="Arial"/>
        </w:rPr>
        <w:t xml:space="preserve"> </w:t>
      </w:r>
      <w:r w:rsidRPr="00373051">
        <w:rPr>
          <w:rFonts w:ascii="Arial" w:hAnsi="Arial"/>
        </w:rPr>
        <w:t>to both the service specification and the usual processes within the pharmacy.</w:t>
      </w:r>
      <w:r>
        <w:rPr>
          <w:rFonts w:ascii="Arial" w:hAnsi="Arial"/>
        </w:rPr>
        <w:t xml:space="preserve"> Hertfordshire LPC</w:t>
      </w:r>
      <w:r w:rsidRPr="00373051">
        <w:rPr>
          <w:rFonts w:ascii="Arial" w:hAnsi="Arial"/>
        </w:rPr>
        <w:t xml:space="preserve"> does</w:t>
      </w:r>
      <w:r>
        <w:rPr>
          <w:rFonts w:ascii="Arial" w:hAnsi="Arial"/>
        </w:rPr>
        <w:t xml:space="preserve"> </w:t>
      </w:r>
      <w:r w:rsidRPr="00373051">
        <w:rPr>
          <w:rFonts w:ascii="Arial" w:hAnsi="Arial"/>
        </w:rPr>
        <w:t>not accept any responsibility for any errors or omissions within this document.</w:t>
      </w:r>
    </w:p>
    <w:p w14:paraId="0D56B3E0" w14:textId="77777777" w:rsidR="003F151E" w:rsidRDefault="003F151E" w:rsidP="00FD3BAE">
      <w:pPr>
        <w:rPr>
          <w:rFonts w:ascii="Arial" w:hAnsi="Arial"/>
        </w:rPr>
      </w:pPr>
      <w:bookmarkStart w:id="1" w:name="_GoBack"/>
      <w:bookmarkEnd w:id="1"/>
    </w:p>
    <w:p w14:paraId="01DBB810" w14:textId="77777777" w:rsidR="003F151E" w:rsidRDefault="00B818CE" w:rsidP="00FD3BAE">
      <w:r w:rsidRPr="00FD3BAE">
        <w:rPr>
          <w:rFonts w:ascii="Arial" w:hAnsi="Arial"/>
        </w:rPr>
        <w:t xml:space="preserve">A SOP should: </w:t>
      </w:r>
    </w:p>
    <w:p w14:paraId="26E10747" w14:textId="77777777" w:rsidR="003F151E" w:rsidRPr="003F151E" w:rsidRDefault="00B818CE" w:rsidP="00D17C05">
      <w:pPr>
        <w:pStyle w:val="ListParagraph"/>
        <w:numPr>
          <w:ilvl w:val="0"/>
          <w:numId w:val="23"/>
        </w:numPr>
        <w:rPr>
          <w:rFonts w:ascii="Arial" w:hAnsi="Arial"/>
        </w:rPr>
      </w:pPr>
      <w:r w:rsidRPr="003F151E">
        <w:rPr>
          <w:rFonts w:ascii="Arial" w:hAnsi="Arial"/>
        </w:rPr>
        <w:t xml:space="preserve">Define staff roles and responsibilities </w:t>
      </w:r>
    </w:p>
    <w:p w14:paraId="619B64EB" w14:textId="77777777" w:rsidR="003F151E" w:rsidRPr="003F151E" w:rsidRDefault="00B818CE" w:rsidP="00D17C05">
      <w:pPr>
        <w:pStyle w:val="ListParagraph"/>
        <w:numPr>
          <w:ilvl w:val="0"/>
          <w:numId w:val="23"/>
        </w:numPr>
        <w:rPr>
          <w:rFonts w:ascii="Arial" w:hAnsi="Arial"/>
        </w:rPr>
      </w:pPr>
      <w:r w:rsidRPr="003F151E">
        <w:rPr>
          <w:rFonts w:ascii="Arial" w:hAnsi="Arial"/>
        </w:rPr>
        <w:t xml:space="preserve">Include any relevant signposting information </w:t>
      </w:r>
    </w:p>
    <w:p w14:paraId="08AC6F77" w14:textId="77777777" w:rsidR="003F151E" w:rsidRPr="003F151E" w:rsidRDefault="00B818CE" w:rsidP="00D17C05">
      <w:pPr>
        <w:pStyle w:val="ListParagraph"/>
        <w:numPr>
          <w:ilvl w:val="0"/>
          <w:numId w:val="23"/>
        </w:numPr>
        <w:rPr>
          <w:rFonts w:ascii="Arial" w:hAnsi="Arial"/>
        </w:rPr>
      </w:pPr>
      <w:r w:rsidRPr="003F151E">
        <w:rPr>
          <w:rFonts w:ascii="Arial" w:hAnsi="Arial"/>
        </w:rPr>
        <w:t xml:space="preserve">Include the process for error and near miss reporting </w:t>
      </w:r>
    </w:p>
    <w:p w14:paraId="289504EC" w14:textId="77777777" w:rsidR="003F151E" w:rsidRPr="003F151E" w:rsidRDefault="00B818CE" w:rsidP="00D17C05">
      <w:pPr>
        <w:pStyle w:val="ListParagraph"/>
        <w:numPr>
          <w:ilvl w:val="0"/>
          <w:numId w:val="23"/>
        </w:numPr>
        <w:rPr>
          <w:rFonts w:ascii="Arial" w:hAnsi="Arial"/>
        </w:rPr>
      </w:pPr>
      <w:r w:rsidRPr="003F151E">
        <w:rPr>
          <w:rFonts w:ascii="Arial" w:hAnsi="Arial"/>
        </w:rPr>
        <w:t xml:space="preserve">Be regularly reviewed and kept up to date </w:t>
      </w:r>
    </w:p>
    <w:p w14:paraId="3DBA6CF5" w14:textId="77777777" w:rsidR="003F151E" w:rsidRPr="003F151E" w:rsidRDefault="00B818CE" w:rsidP="00D17C05">
      <w:pPr>
        <w:pStyle w:val="ListParagraph"/>
        <w:numPr>
          <w:ilvl w:val="0"/>
          <w:numId w:val="23"/>
        </w:numPr>
        <w:rPr>
          <w:rFonts w:ascii="Arial" w:hAnsi="Arial"/>
        </w:rPr>
      </w:pPr>
      <w:r w:rsidRPr="003F151E">
        <w:rPr>
          <w:rFonts w:ascii="Arial" w:hAnsi="Arial"/>
        </w:rPr>
        <w:t xml:space="preserve">Be signed and dated by all staff (including locums) operating under the SOP </w:t>
      </w:r>
    </w:p>
    <w:p w14:paraId="02A1038D" w14:textId="77777777" w:rsidR="003F151E" w:rsidRDefault="00B818CE" w:rsidP="00D17C05">
      <w:pPr>
        <w:pStyle w:val="ListParagraph"/>
        <w:numPr>
          <w:ilvl w:val="0"/>
          <w:numId w:val="23"/>
        </w:numPr>
        <w:rPr>
          <w:rFonts w:ascii="Arial" w:hAnsi="Arial"/>
        </w:rPr>
      </w:pPr>
      <w:r w:rsidRPr="003F151E">
        <w:rPr>
          <w:rFonts w:ascii="Arial" w:hAnsi="Arial"/>
        </w:rPr>
        <w:t xml:space="preserve">State the date of production and review date. </w:t>
      </w:r>
    </w:p>
    <w:p w14:paraId="0EDFA525" w14:textId="77777777" w:rsidR="003F151E" w:rsidRDefault="003F151E" w:rsidP="003F151E">
      <w:pPr>
        <w:rPr>
          <w:rFonts w:ascii="Arial" w:hAnsi="Arial"/>
        </w:rPr>
      </w:pPr>
    </w:p>
    <w:p w14:paraId="34CF4473" w14:textId="77777777" w:rsidR="003F151E" w:rsidRDefault="00B818CE" w:rsidP="003F151E">
      <w:pPr>
        <w:rPr>
          <w:rFonts w:ascii="Arial" w:hAnsi="Arial"/>
        </w:rPr>
      </w:pPr>
      <w:r w:rsidRPr="003F151E">
        <w:rPr>
          <w:rFonts w:ascii="Arial" w:hAnsi="Arial"/>
        </w:rPr>
        <w:t xml:space="preserve">Check with the Superintendent before you write any SOP because they must be involved in writing SOPs for the pharmacy. </w:t>
      </w:r>
    </w:p>
    <w:p w14:paraId="2194016E" w14:textId="77777777" w:rsidR="003F151E" w:rsidRDefault="003F151E" w:rsidP="003F151E">
      <w:pPr>
        <w:rPr>
          <w:rFonts w:ascii="Arial" w:hAnsi="Arial"/>
        </w:rPr>
      </w:pPr>
    </w:p>
    <w:p w14:paraId="6EE9140B" w14:textId="77777777" w:rsidR="00427969" w:rsidRDefault="00427969">
      <w:pPr>
        <w:rPr>
          <w:rFonts w:ascii="Arial" w:hAnsi="Arial"/>
        </w:rPr>
      </w:pPr>
      <w:r>
        <w:rPr>
          <w:rFonts w:ascii="Arial" w:hAnsi="Arial"/>
        </w:rPr>
        <w:br w:type="page"/>
      </w:r>
    </w:p>
    <w:p w14:paraId="30CD5561" w14:textId="41810517" w:rsidR="00427969" w:rsidRPr="001413EE" w:rsidRDefault="00B818CE" w:rsidP="001413EE">
      <w:pPr>
        <w:pStyle w:val="Heading1"/>
      </w:pPr>
      <w:bookmarkStart w:id="2" w:name="_Toc432630676"/>
      <w:r w:rsidRPr="003F151E">
        <w:lastRenderedPageBreak/>
        <w:t>Template Standa</w:t>
      </w:r>
      <w:r w:rsidR="00F04228">
        <w:t>rd Operating Procedure for the S</w:t>
      </w:r>
      <w:r w:rsidRPr="003F151E">
        <w:t>ervice</w:t>
      </w:r>
      <w:bookmarkEnd w:id="2"/>
      <w:r w:rsidRPr="003F151E">
        <w:t xml:space="preserve"> </w:t>
      </w:r>
    </w:p>
    <w:tbl>
      <w:tblPr>
        <w:tblStyle w:val="TableGrid"/>
        <w:tblW w:w="11194" w:type="dxa"/>
        <w:tblLook w:val="04A0" w:firstRow="1" w:lastRow="0" w:firstColumn="1" w:lastColumn="0" w:noHBand="0" w:noVBand="1"/>
      </w:tblPr>
      <w:tblGrid>
        <w:gridCol w:w="534"/>
        <w:gridCol w:w="2863"/>
        <w:gridCol w:w="2268"/>
        <w:gridCol w:w="2694"/>
        <w:gridCol w:w="1701"/>
        <w:gridCol w:w="1134"/>
      </w:tblGrid>
      <w:tr w:rsidR="00427969" w:rsidRPr="00BB2BD7" w14:paraId="46C97435" w14:textId="77777777" w:rsidTr="00427969">
        <w:tc>
          <w:tcPr>
            <w:tcW w:w="3397" w:type="dxa"/>
            <w:gridSpan w:val="2"/>
          </w:tcPr>
          <w:p w14:paraId="119ED0F7" w14:textId="3DD7C1D7" w:rsidR="00427969" w:rsidRPr="00BB2BD7" w:rsidRDefault="00427969" w:rsidP="003F151E">
            <w:pPr>
              <w:rPr>
                <w:rFonts w:ascii="Arial" w:hAnsi="Arial"/>
                <w:b/>
                <w:sz w:val="22"/>
                <w:szCs w:val="22"/>
              </w:rPr>
            </w:pPr>
            <w:r w:rsidRPr="00BB2BD7">
              <w:rPr>
                <w:rFonts w:ascii="Arial" w:hAnsi="Arial"/>
                <w:b/>
                <w:sz w:val="22"/>
                <w:szCs w:val="22"/>
              </w:rPr>
              <w:t>Pharmacy Name</w:t>
            </w:r>
          </w:p>
        </w:tc>
        <w:tc>
          <w:tcPr>
            <w:tcW w:w="4962" w:type="dxa"/>
            <w:gridSpan w:val="2"/>
          </w:tcPr>
          <w:p w14:paraId="14C34BDB" w14:textId="77777777" w:rsidR="00427969" w:rsidRPr="00BB2BD7" w:rsidRDefault="00427969" w:rsidP="003F151E">
            <w:pPr>
              <w:rPr>
                <w:rFonts w:ascii="Arial" w:hAnsi="Arial"/>
                <w:sz w:val="22"/>
                <w:szCs w:val="22"/>
              </w:rPr>
            </w:pPr>
          </w:p>
        </w:tc>
        <w:tc>
          <w:tcPr>
            <w:tcW w:w="1701" w:type="dxa"/>
          </w:tcPr>
          <w:p w14:paraId="2341C5E9" w14:textId="169A706D" w:rsidR="00427969" w:rsidRPr="00BB2BD7" w:rsidRDefault="00427969" w:rsidP="003F151E">
            <w:pPr>
              <w:rPr>
                <w:rFonts w:ascii="Arial" w:hAnsi="Arial"/>
                <w:b/>
                <w:sz w:val="22"/>
                <w:szCs w:val="22"/>
              </w:rPr>
            </w:pPr>
            <w:r w:rsidRPr="00BB2BD7">
              <w:rPr>
                <w:rFonts w:ascii="Arial" w:hAnsi="Arial"/>
                <w:b/>
                <w:sz w:val="22"/>
                <w:szCs w:val="22"/>
              </w:rPr>
              <w:t>SOP version</w:t>
            </w:r>
          </w:p>
        </w:tc>
        <w:tc>
          <w:tcPr>
            <w:tcW w:w="1134" w:type="dxa"/>
          </w:tcPr>
          <w:p w14:paraId="2D523BB6" w14:textId="77777777" w:rsidR="00427969" w:rsidRPr="00BB2BD7" w:rsidRDefault="00427969" w:rsidP="003F151E">
            <w:pPr>
              <w:rPr>
                <w:rFonts w:ascii="Arial" w:hAnsi="Arial"/>
                <w:sz w:val="22"/>
                <w:szCs w:val="22"/>
              </w:rPr>
            </w:pPr>
          </w:p>
        </w:tc>
      </w:tr>
      <w:tr w:rsidR="00427969" w:rsidRPr="00BB2BD7" w14:paraId="53DBEC39" w14:textId="77777777" w:rsidTr="00427969">
        <w:tc>
          <w:tcPr>
            <w:tcW w:w="3397" w:type="dxa"/>
            <w:gridSpan w:val="2"/>
          </w:tcPr>
          <w:p w14:paraId="397BECD9" w14:textId="05D49EF4" w:rsidR="00427969" w:rsidRPr="00BB2BD7" w:rsidRDefault="00427969" w:rsidP="003F151E">
            <w:pPr>
              <w:rPr>
                <w:rFonts w:ascii="Arial" w:hAnsi="Arial"/>
                <w:b/>
                <w:sz w:val="22"/>
                <w:szCs w:val="22"/>
              </w:rPr>
            </w:pPr>
            <w:r w:rsidRPr="00BB2BD7">
              <w:rPr>
                <w:rFonts w:ascii="Arial" w:hAnsi="Arial"/>
                <w:b/>
                <w:sz w:val="22"/>
                <w:szCs w:val="22"/>
              </w:rPr>
              <w:t>Date of SOP preparation:</w:t>
            </w:r>
          </w:p>
        </w:tc>
        <w:tc>
          <w:tcPr>
            <w:tcW w:w="2268" w:type="dxa"/>
          </w:tcPr>
          <w:p w14:paraId="623A0145" w14:textId="77777777" w:rsidR="00427969" w:rsidRPr="00BB2BD7" w:rsidRDefault="00427969" w:rsidP="003F151E">
            <w:pPr>
              <w:rPr>
                <w:rFonts w:ascii="Arial" w:hAnsi="Arial"/>
                <w:sz w:val="22"/>
                <w:szCs w:val="22"/>
              </w:rPr>
            </w:pPr>
          </w:p>
        </w:tc>
        <w:tc>
          <w:tcPr>
            <w:tcW w:w="4395" w:type="dxa"/>
            <w:gridSpan w:val="2"/>
          </w:tcPr>
          <w:p w14:paraId="664F95FF" w14:textId="5B1FD198" w:rsidR="00427969" w:rsidRPr="00BB2BD7" w:rsidRDefault="00427969" w:rsidP="003F151E">
            <w:pPr>
              <w:rPr>
                <w:rFonts w:ascii="Arial" w:hAnsi="Arial"/>
                <w:b/>
                <w:sz w:val="22"/>
                <w:szCs w:val="22"/>
              </w:rPr>
            </w:pPr>
            <w:r w:rsidRPr="00BB2BD7">
              <w:rPr>
                <w:rFonts w:ascii="Arial" w:hAnsi="Arial"/>
                <w:b/>
                <w:sz w:val="22"/>
                <w:szCs w:val="22"/>
              </w:rPr>
              <w:t>Date SOP effective from:</w:t>
            </w:r>
          </w:p>
        </w:tc>
        <w:tc>
          <w:tcPr>
            <w:tcW w:w="1134" w:type="dxa"/>
          </w:tcPr>
          <w:p w14:paraId="163A40FD" w14:textId="77777777" w:rsidR="00427969" w:rsidRPr="00BB2BD7" w:rsidRDefault="00427969" w:rsidP="003F151E">
            <w:pPr>
              <w:rPr>
                <w:rFonts w:ascii="Arial" w:hAnsi="Arial"/>
                <w:sz w:val="22"/>
                <w:szCs w:val="22"/>
              </w:rPr>
            </w:pPr>
          </w:p>
        </w:tc>
      </w:tr>
      <w:tr w:rsidR="00427969" w:rsidRPr="00BB2BD7" w14:paraId="11DE5D23" w14:textId="77777777" w:rsidTr="00427969">
        <w:tc>
          <w:tcPr>
            <w:tcW w:w="3397" w:type="dxa"/>
            <w:gridSpan w:val="2"/>
          </w:tcPr>
          <w:p w14:paraId="37021708" w14:textId="69669359" w:rsidR="00427969" w:rsidRPr="00BB2BD7" w:rsidRDefault="00427969" w:rsidP="003F151E">
            <w:pPr>
              <w:rPr>
                <w:rFonts w:ascii="Arial" w:hAnsi="Arial"/>
                <w:b/>
                <w:sz w:val="22"/>
                <w:szCs w:val="22"/>
              </w:rPr>
            </w:pPr>
            <w:r w:rsidRPr="00BB2BD7">
              <w:rPr>
                <w:rFonts w:ascii="Arial" w:hAnsi="Arial"/>
                <w:b/>
                <w:sz w:val="22"/>
                <w:szCs w:val="22"/>
              </w:rPr>
              <w:t>SOP prepared by:</w:t>
            </w:r>
          </w:p>
        </w:tc>
        <w:tc>
          <w:tcPr>
            <w:tcW w:w="2268" w:type="dxa"/>
          </w:tcPr>
          <w:p w14:paraId="663A5CF4" w14:textId="77777777" w:rsidR="00427969" w:rsidRPr="00BB2BD7" w:rsidRDefault="00427969" w:rsidP="003F151E">
            <w:pPr>
              <w:rPr>
                <w:rFonts w:ascii="Arial" w:hAnsi="Arial"/>
                <w:sz w:val="22"/>
                <w:szCs w:val="22"/>
              </w:rPr>
            </w:pPr>
          </w:p>
        </w:tc>
        <w:tc>
          <w:tcPr>
            <w:tcW w:w="4395" w:type="dxa"/>
            <w:gridSpan w:val="2"/>
          </w:tcPr>
          <w:p w14:paraId="680CEEAE" w14:textId="6EB8971F" w:rsidR="00427969" w:rsidRPr="00BB2BD7" w:rsidRDefault="00427969" w:rsidP="003F151E">
            <w:pPr>
              <w:rPr>
                <w:rFonts w:ascii="Arial" w:hAnsi="Arial"/>
                <w:b/>
                <w:sz w:val="22"/>
                <w:szCs w:val="22"/>
              </w:rPr>
            </w:pPr>
            <w:r w:rsidRPr="00BB2BD7">
              <w:rPr>
                <w:rFonts w:ascii="Arial" w:hAnsi="Arial"/>
                <w:b/>
                <w:sz w:val="22"/>
                <w:szCs w:val="22"/>
              </w:rPr>
              <w:t>Review date for SOP:</w:t>
            </w:r>
          </w:p>
        </w:tc>
        <w:tc>
          <w:tcPr>
            <w:tcW w:w="1134" w:type="dxa"/>
          </w:tcPr>
          <w:p w14:paraId="532D7495" w14:textId="77777777" w:rsidR="00427969" w:rsidRPr="00BB2BD7" w:rsidRDefault="00427969" w:rsidP="003F151E">
            <w:pPr>
              <w:rPr>
                <w:rFonts w:ascii="Arial" w:hAnsi="Arial"/>
                <w:sz w:val="22"/>
                <w:szCs w:val="22"/>
              </w:rPr>
            </w:pPr>
          </w:p>
        </w:tc>
      </w:tr>
      <w:tr w:rsidR="008B0071" w:rsidRPr="00BB2BD7" w14:paraId="78AC5EC5" w14:textId="77777777" w:rsidTr="00231279">
        <w:tc>
          <w:tcPr>
            <w:tcW w:w="11194" w:type="dxa"/>
            <w:gridSpan w:val="6"/>
          </w:tcPr>
          <w:p w14:paraId="52622546" w14:textId="77777777" w:rsidR="008B0071" w:rsidRPr="00BB2BD7" w:rsidRDefault="008B0071" w:rsidP="003F151E">
            <w:pPr>
              <w:rPr>
                <w:rFonts w:ascii="Arial" w:hAnsi="Arial"/>
                <w:sz w:val="22"/>
                <w:szCs w:val="22"/>
              </w:rPr>
            </w:pPr>
            <w:r w:rsidRPr="00BB2BD7">
              <w:rPr>
                <w:rFonts w:ascii="Arial" w:hAnsi="Arial"/>
                <w:b/>
                <w:sz w:val="22"/>
                <w:szCs w:val="22"/>
              </w:rPr>
              <w:t>Objective</w:t>
            </w:r>
            <w:r w:rsidRPr="00BB2BD7">
              <w:rPr>
                <w:rFonts w:ascii="Arial" w:hAnsi="Arial"/>
                <w:sz w:val="22"/>
                <w:szCs w:val="22"/>
              </w:rPr>
              <w:t xml:space="preserve"> </w:t>
            </w:r>
          </w:p>
          <w:p w14:paraId="554950C4" w14:textId="00BCB909" w:rsidR="00F04228" w:rsidRPr="00BB2BD7" w:rsidRDefault="008B0071" w:rsidP="003F5318">
            <w:pPr>
              <w:rPr>
                <w:rFonts w:ascii="Arial" w:hAnsi="Arial"/>
                <w:sz w:val="22"/>
                <w:szCs w:val="22"/>
              </w:rPr>
            </w:pPr>
            <w:r w:rsidRPr="00BB2BD7">
              <w:rPr>
                <w:rFonts w:ascii="Arial" w:hAnsi="Arial"/>
                <w:sz w:val="22"/>
                <w:szCs w:val="22"/>
              </w:rPr>
              <w:t>To define the</w:t>
            </w:r>
            <w:r w:rsidR="00CB35FC">
              <w:rPr>
                <w:rFonts w:ascii="Arial" w:hAnsi="Arial"/>
                <w:sz w:val="22"/>
                <w:szCs w:val="22"/>
              </w:rPr>
              <w:t xml:space="preserve"> service </w:t>
            </w:r>
            <w:r w:rsidR="00CB35FC" w:rsidRPr="00CB35FC">
              <w:rPr>
                <w:rFonts w:ascii="Arial" w:hAnsi="Arial"/>
                <w:sz w:val="22"/>
                <w:szCs w:val="22"/>
              </w:rPr>
              <w:t xml:space="preserve">for the supply of </w:t>
            </w:r>
            <w:proofErr w:type="spellStart"/>
            <w:r w:rsidR="00CB35FC" w:rsidRPr="00CB35FC">
              <w:rPr>
                <w:rFonts w:ascii="Arial" w:hAnsi="Arial"/>
                <w:sz w:val="22"/>
                <w:szCs w:val="22"/>
              </w:rPr>
              <w:t>varenicline</w:t>
            </w:r>
            <w:proofErr w:type="spellEnd"/>
            <w:r w:rsidR="00CB35FC">
              <w:rPr>
                <w:rFonts w:ascii="Arial" w:hAnsi="Arial"/>
                <w:sz w:val="22"/>
                <w:szCs w:val="22"/>
              </w:rPr>
              <w:t xml:space="preserve"> </w:t>
            </w:r>
            <w:r w:rsidR="00CB35FC" w:rsidRPr="00CB35FC">
              <w:rPr>
                <w:rFonts w:ascii="Arial" w:hAnsi="Arial"/>
                <w:sz w:val="22"/>
                <w:szCs w:val="22"/>
              </w:rPr>
              <w:t>by regis</w:t>
            </w:r>
            <w:r w:rsidR="00CB35FC">
              <w:rPr>
                <w:rFonts w:ascii="Arial" w:hAnsi="Arial"/>
                <w:sz w:val="22"/>
                <w:szCs w:val="22"/>
              </w:rPr>
              <w:t>tered community pharmacists</w:t>
            </w:r>
            <w:r w:rsidR="00CB35FC" w:rsidRPr="00CB35FC">
              <w:rPr>
                <w:rFonts w:ascii="Arial" w:hAnsi="Arial"/>
                <w:sz w:val="22"/>
                <w:szCs w:val="22"/>
              </w:rPr>
              <w:t xml:space="preserve"> in Hertfordshire</w:t>
            </w:r>
            <w:r w:rsidRPr="00BB2BD7">
              <w:rPr>
                <w:rFonts w:ascii="Arial" w:hAnsi="Arial"/>
                <w:sz w:val="22"/>
                <w:szCs w:val="22"/>
              </w:rPr>
              <w:t xml:space="preserve"> </w:t>
            </w:r>
            <w:r w:rsidR="00CB35FC">
              <w:rPr>
                <w:rFonts w:ascii="Arial" w:hAnsi="Arial"/>
                <w:sz w:val="22"/>
                <w:szCs w:val="22"/>
              </w:rPr>
              <w:t xml:space="preserve">as according to the </w:t>
            </w:r>
            <w:hyperlink r:id="rId8" w:history="1">
              <w:r w:rsidR="00CB35FC" w:rsidRPr="00CB35FC">
                <w:rPr>
                  <w:rStyle w:val="Hyperlink"/>
                  <w:rFonts w:ascii="Arial" w:hAnsi="Arial"/>
                  <w:sz w:val="22"/>
                  <w:szCs w:val="22"/>
                </w:rPr>
                <w:t>Patient Group Direction HCC201612</w:t>
              </w:r>
            </w:hyperlink>
            <w:r w:rsidR="00CB35FC">
              <w:rPr>
                <w:rFonts w:ascii="Arial" w:hAnsi="Arial"/>
                <w:sz w:val="22"/>
                <w:szCs w:val="22"/>
              </w:rPr>
              <w:t xml:space="preserve"> (the PGD</w:t>
            </w:r>
            <w:r w:rsidR="003F5318">
              <w:rPr>
                <w:rFonts w:ascii="Arial" w:hAnsi="Arial"/>
                <w:sz w:val="22"/>
                <w:szCs w:val="22"/>
              </w:rPr>
              <w:t>). This is</w:t>
            </w:r>
            <w:r w:rsidR="004B00D6">
              <w:rPr>
                <w:rFonts w:ascii="Arial" w:hAnsi="Arial"/>
                <w:sz w:val="22"/>
                <w:szCs w:val="22"/>
              </w:rPr>
              <w:t xml:space="preserve"> to ensure that</w:t>
            </w:r>
            <w:r w:rsidR="00CB35FC">
              <w:rPr>
                <w:rFonts w:ascii="Arial" w:hAnsi="Arial"/>
                <w:sz w:val="22"/>
                <w:szCs w:val="22"/>
              </w:rPr>
              <w:t xml:space="preserve"> </w:t>
            </w:r>
            <w:r w:rsidR="004B00D6">
              <w:rPr>
                <w:rFonts w:ascii="Arial" w:hAnsi="Arial"/>
                <w:sz w:val="22"/>
                <w:szCs w:val="22"/>
              </w:rPr>
              <w:t>n</w:t>
            </w:r>
            <w:r w:rsidR="004B00D6" w:rsidRPr="004B00D6">
              <w:rPr>
                <w:rFonts w:ascii="Arial" w:hAnsi="Arial"/>
                <w:sz w:val="22"/>
                <w:szCs w:val="22"/>
              </w:rPr>
              <w:t>icotine dependent smo</w:t>
            </w:r>
            <w:r w:rsidR="004B00D6">
              <w:rPr>
                <w:rFonts w:ascii="Arial" w:hAnsi="Arial"/>
                <w:sz w:val="22"/>
                <w:szCs w:val="22"/>
              </w:rPr>
              <w:t xml:space="preserve">kers over the age of 18 who are </w:t>
            </w:r>
            <w:r w:rsidR="004B00D6" w:rsidRPr="004B00D6">
              <w:rPr>
                <w:rFonts w:ascii="Arial" w:hAnsi="Arial"/>
                <w:sz w:val="22"/>
                <w:szCs w:val="22"/>
              </w:rPr>
              <w:t xml:space="preserve">accessing </w:t>
            </w:r>
            <w:r w:rsidR="003F5318">
              <w:rPr>
                <w:rFonts w:ascii="Arial" w:hAnsi="Arial"/>
                <w:sz w:val="22"/>
                <w:szCs w:val="22"/>
              </w:rPr>
              <w:t>a community pharmacy stop smoking service</w:t>
            </w:r>
            <w:r w:rsidR="004B00D6">
              <w:rPr>
                <w:rFonts w:ascii="Arial" w:hAnsi="Arial"/>
                <w:sz w:val="22"/>
                <w:szCs w:val="22"/>
              </w:rPr>
              <w:t xml:space="preserve"> </w:t>
            </w:r>
            <w:r w:rsidR="004B00D6" w:rsidRPr="004B00D6">
              <w:rPr>
                <w:rFonts w:ascii="Arial" w:hAnsi="Arial"/>
                <w:sz w:val="22"/>
                <w:szCs w:val="22"/>
              </w:rPr>
              <w:t>commissioned by Hertfordshire County Council for help to stop</w:t>
            </w:r>
            <w:r w:rsidR="004B00D6">
              <w:rPr>
                <w:rFonts w:ascii="Arial" w:hAnsi="Arial"/>
                <w:sz w:val="22"/>
                <w:szCs w:val="22"/>
              </w:rPr>
              <w:t xml:space="preserve"> smoking can be supplied </w:t>
            </w:r>
            <w:proofErr w:type="spellStart"/>
            <w:r w:rsidR="004B00D6" w:rsidRPr="004B00D6">
              <w:rPr>
                <w:rFonts w:ascii="Arial" w:hAnsi="Arial"/>
                <w:sz w:val="22"/>
                <w:szCs w:val="22"/>
              </w:rPr>
              <w:t>varenicline</w:t>
            </w:r>
            <w:proofErr w:type="spellEnd"/>
            <w:r w:rsidR="004B00D6">
              <w:rPr>
                <w:rFonts w:ascii="Arial" w:hAnsi="Arial"/>
                <w:sz w:val="22"/>
                <w:szCs w:val="22"/>
              </w:rPr>
              <w:t xml:space="preserve"> as part</w:t>
            </w:r>
            <w:r w:rsidR="004B00D6" w:rsidRPr="004B00D6">
              <w:rPr>
                <w:rFonts w:ascii="Arial" w:hAnsi="Arial"/>
                <w:sz w:val="22"/>
                <w:szCs w:val="22"/>
              </w:rPr>
              <w:t xml:space="preserve"> of a treatment</w:t>
            </w:r>
            <w:r w:rsidR="004B00D6">
              <w:rPr>
                <w:rFonts w:ascii="Arial" w:hAnsi="Arial"/>
                <w:sz w:val="22"/>
                <w:szCs w:val="22"/>
              </w:rPr>
              <w:t xml:space="preserve"> </w:t>
            </w:r>
            <w:r w:rsidR="004B00D6" w:rsidRPr="004B00D6">
              <w:rPr>
                <w:rFonts w:ascii="Arial" w:hAnsi="Arial"/>
                <w:sz w:val="22"/>
                <w:szCs w:val="22"/>
              </w:rPr>
              <w:t>programme combined with behavioural support.</w:t>
            </w:r>
          </w:p>
        </w:tc>
      </w:tr>
      <w:tr w:rsidR="008B0071" w:rsidRPr="00BB2BD7" w14:paraId="3EA2EE06" w14:textId="77777777" w:rsidTr="00231279">
        <w:tc>
          <w:tcPr>
            <w:tcW w:w="11194" w:type="dxa"/>
            <w:gridSpan w:val="6"/>
          </w:tcPr>
          <w:p w14:paraId="29A7E78F" w14:textId="77777777" w:rsidR="008B0071" w:rsidRPr="00BB2BD7" w:rsidRDefault="008B0071" w:rsidP="003F151E">
            <w:pPr>
              <w:rPr>
                <w:rFonts w:ascii="Arial" w:hAnsi="Arial"/>
                <w:sz w:val="22"/>
                <w:szCs w:val="22"/>
              </w:rPr>
            </w:pPr>
            <w:r w:rsidRPr="00BB2BD7">
              <w:rPr>
                <w:rFonts w:ascii="Arial" w:hAnsi="Arial"/>
                <w:b/>
                <w:sz w:val="22"/>
                <w:szCs w:val="22"/>
              </w:rPr>
              <w:t>Scope</w:t>
            </w:r>
            <w:r w:rsidRPr="00BB2BD7">
              <w:rPr>
                <w:rFonts w:ascii="Arial" w:hAnsi="Arial"/>
                <w:sz w:val="22"/>
                <w:szCs w:val="22"/>
              </w:rPr>
              <w:t xml:space="preserve"> </w:t>
            </w:r>
          </w:p>
          <w:p w14:paraId="3BB58B04" w14:textId="36F5E458" w:rsidR="00F04228" w:rsidRPr="00BB2BD7" w:rsidRDefault="008B0071" w:rsidP="003F151E">
            <w:pPr>
              <w:rPr>
                <w:rFonts w:ascii="Arial" w:hAnsi="Arial"/>
                <w:sz w:val="22"/>
                <w:szCs w:val="22"/>
              </w:rPr>
            </w:pPr>
            <w:r w:rsidRPr="00BB2BD7">
              <w:rPr>
                <w:rFonts w:ascii="Arial" w:hAnsi="Arial"/>
                <w:sz w:val="22"/>
                <w:szCs w:val="22"/>
              </w:rPr>
              <w:t>This procedure applies to all staff participating in the provision of the Service.</w:t>
            </w:r>
          </w:p>
        </w:tc>
      </w:tr>
      <w:tr w:rsidR="008B0071" w:rsidRPr="00BB2BD7" w14:paraId="5879B382" w14:textId="77777777" w:rsidTr="00231279">
        <w:tc>
          <w:tcPr>
            <w:tcW w:w="11194" w:type="dxa"/>
            <w:gridSpan w:val="6"/>
          </w:tcPr>
          <w:p w14:paraId="0CDC4B59" w14:textId="77777777" w:rsidR="008B0071" w:rsidRPr="00BB2BD7" w:rsidRDefault="008B0071" w:rsidP="003F151E">
            <w:pPr>
              <w:rPr>
                <w:rFonts w:ascii="Arial" w:hAnsi="Arial"/>
                <w:sz w:val="22"/>
                <w:szCs w:val="22"/>
              </w:rPr>
            </w:pPr>
            <w:r w:rsidRPr="00BB2BD7">
              <w:rPr>
                <w:rFonts w:ascii="Arial" w:hAnsi="Arial"/>
                <w:b/>
                <w:sz w:val="22"/>
                <w:szCs w:val="22"/>
              </w:rPr>
              <w:t>Responsibilities</w:t>
            </w:r>
            <w:r w:rsidRPr="00BB2BD7">
              <w:rPr>
                <w:rFonts w:ascii="Arial" w:hAnsi="Arial"/>
                <w:sz w:val="22"/>
                <w:szCs w:val="22"/>
              </w:rPr>
              <w:t xml:space="preserve"> </w:t>
            </w:r>
          </w:p>
          <w:p w14:paraId="31F27161" w14:textId="705DD1AD" w:rsidR="008B0071" w:rsidRPr="00BB2BD7" w:rsidRDefault="008B0071" w:rsidP="003F151E">
            <w:pPr>
              <w:rPr>
                <w:rFonts w:ascii="Arial" w:hAnsi="Arial"/>
                <w:sz w:val="22"/>
                <w:szCs w:val="22"/>
              </w:rPr>
            </w:pPr>
            <w:r w:rsidRPr="00BB2BD7">
              <w:rPr>
                <w:rFonts w:ascii="Arial" w:hAnsi="Arial"/>
                <w:sz w:val="22"/>
                <w:szCs w:val="22"/>
              </w:rPr>
              <w:t xml:space="preserve">The responsible pharmacist in charge of the community pharmacy is responsible for ensuring that the </w:t>
            </w:r>
            <w:r w:rsidR="00CB35FC">
              <w:rPr>
                <w:rFonts w:ascii="Arial" w:hAnsi="Arial"/>
                <w:sz w:val="22"/>
                <w:szCs w:val="22"/>
              </w:rPr>
              <w:t>PGD</w:t>
            </w:r>
            <w:r w:rsidRPr="00BB2BD7">
              <w:rPr>
                <w:rFonts w:ascii="Arial" w:hAnsi="Arial"/>
                <w:sz w:val="22"/>
                <w:szCs w:val="22"/>
              </w:rPr>
              <w:t xml:space="preserve"> is carried out as within this SOP and in line with the </w:t>
            </w:r>
            <w:r w:rsidR="00CB35FC">
              <w:rPr>
                <w:rFonts w:ascii="Arial" w:hAnsi="Arial"/>
                <w:sz w:val="22"/>
                <w:szCs w:val="22"/>
              </w:rPr>
              <w:t xml:space="preserve">stop smoking </w:t>
            </w:r>
            <w:r w:rsidRPr="00BB2BD7">
              <w:rPr>
                <w:rFonts w:ascii="Arial" w:hAnsi="Arial"/>
                <w:sz w:val="22"/>
                <w:szCs w:val="22"/>
              </w:rPr>
              <w:t>locally commissioned service</w:t>
            </w:r>
            <w:r w:rsidR="00F04228" w:rsidRPr="00BB2BD7">
              <w:rPr>
                <w:rFonts w:ascii="Arial" w:hAnsi="Arial"/>
                <w:sz w:val="22"/>
                <w:szCs w:val="22"/>
              </w:rPr>
              <w:t xml:space="preserve"> (</w:t>
            </w:r>
            <w:proofErr w:type="spellStart"/>
            <w:r w:rsidR="00F04228" w:rsidRPr="00BB2BD7">
              <w:rPr>
                <w:rFonts w:ascii="Arial" w:hAnsi="Arial"/>
                <w:sz w:val="22"/>
                <w:szCs w:val="22"/>
              </w:rPr>
              <w:t>i</w:t>
            </w:r>
            <w:r w:rsidRPr="00BB2BD7">
              <w:rPr>
                <w:rFonts w:ascii="Arial" w:hAnsi="Arial"/>
                <w:sz w:val="22"/>
                <w:szCs w:val="22"/>
              </w:rPr>
              <w:t>e</w:t>
            </w:r>
            <w:proofErr w:type="spellEnd"/>
            <w:r w:rsidRPr="00BB2BD7">
              <w:rPr>
                <w:rFonts w:ascii="Arial" w:hAnsi="Arial"/>
                <w:sz w:val="22"/>
                <w:szCs w:val="22"/>
              </w:rPr>
              <w:t xml:space="preserve">. as commissioned). </w:t>
            </w:r>
            <w:r w:rsidR="00CB35FC">
              <w:rPr>
                <w:rFonts w:ascii="Arial" w:hAnsi="Arial"/>
                <w:sz w:val="22"/>
                <w:szCs w:val="22"/>
              </w:rPr>
              <w:t>Each person delivering the PGD</w:t>
            </w:r>
            <w:r w:rsidRPr="00BB2BD7">
              <w:rPr>
                <w:rFonts w:ascii="Arial" w:hAnsi="Arial"/>
                <w:sz w:val="22"/>
                <w:szCs w:val="22"/>
              </w:rPr>
              <w:t xml:space="preserve"> is responsible for ensuring that they work under this SOP. </w:t>
            </w:r>
          </w:p>
          <w:p w14:paraId="7FED94FD" w14:textId="31B2FCD1" w:rsidR="00F04228" w:rsidRPr="00BF6E96" w:rsidRDefault="008B0071" w:rsidP="003F151E">
            <w:pPr>
              <w:rPr>
                <w:rFonts w:ascii="Arial" w:hAnsi="Arial"/>
                <w:sz w:val="22"/>
                <w:szCs w:val="22"/>
              </w:rPr>
            </w:pPr>
            <w:r w:rsidRPr="00BB2BD7">
              <w:rPr>
                <w:rFonts w:ascii="Arial" w:hAnsi="Arial"/>
                <w:sz w:val="22"/>
                <w:szCs w:val="22"/>
              </w:rPr>
              <w:t>All employees are responsible for treating all users of the Service with respect and courtesy</w:t>
            </w:r>
            <w:r w:rsidR="00F04228" w:rsidRPr="00BB2BD7">
              <w:rPr>
                <w:rFonts w:ascii="Arial" w:hAnsi="Arial"/>
                <w:sz w:val="22"/>
                <w:szCs w:val="22"/>
              </w:rPr>
              <w:t>.</w:t>
            </w:r>
          </w:p>
        </w:tc>
      </w:tr>
      <w:tr w:rsidR="008B0071" w:rsidRPr="00BB2BD7" w14:paraId="5A3842A8" w14:textId="77777777" w:rsidTr="00231279">
        <w:tc>
          <w:tcPr>
            <w:tcW w:w="11194" w:type="dxa"/>
            <w:gridSpan w:val="6"/>
          </w:tcPr>
          <w:p w14:paraId="42D174E2" w14:textId="74777B07" w:rsidR="008B0071" w:rsidRPr="00BB2BD7" w:rsidRDefault="008B0071" w:rsidP="003F151E">
            <w:pPr>
              <w:rPr>
                <w:rFonts w:ascii="Arial" w:hAnsi="Arial"/>
                <w:b/>
                <w:sz w:val="22"/>
                <w:szCs w:val="22"/>
              </w:rPr>
            </w:pPr>
            <w:r w:rsidRPr="00BB2BD7">
              <w:rPr>
                <w:rFonts w:ascii="Arial" w:hAnsi="Arial"/>
                <w:b/>
                <w:sz w:val="22"/>
                <w:szCs w:val="22"/>
              </w:rPr>
              <w:t xml:space="preserve">Person Requirements </w:t>
            </w:r>
          </w:p>
          <w:p w14:paraId="24319CBB" w14:textId="6E626612" w:rsidR="00CB35FC" w:rsidRDefault="00CB35FC" w:rsidP="00CB35FC">
            <w:pPr>
              <w:rPr>
                <w:rFonts w:ascii="Arial" w:hAnsi="Arial"/>
                <w:sz w:val="22"/>
                <w:szCs w:val="22"/>
              </w:rPr>
            </w:pPr>
            <w:r>
              <w:rPr>
                <w:rFonts w:ascii="Arial" w:hAnsi="Arial"/>
                <w:sz w:val="22"/>
                <w:szCs w:val="22"/>
              </w:rPr>
              <w:t xml:space="preserve">The pharmacist </w:t>
            </w:r>
            <w:r w:rsidR="004B00D6">
              <w:rPr>
                <w:rFonts w:ascii="Arial" w:hAnsi="Arial"/>
                <w:sz w:val="22"/>
                <w:szCs w:val="22"/>
              </w:rPr>
              <w:t>delivering the service must</w:t>
            </w:r>
            <w:r>
              <w:rPr>
                <w:rFonts w:ascii="Arial" w:hAnsi="Arial"/>
                <w:sz w:val="22"/>
                <w:szCs w:val="22"/>
              </w:rPr>
              <w:t xml:space="preserve">: </w:t>
            </w:r>
          </w:p>
          <w:p w14:paraId="46FB49D7" w14:textId="5268CD23" w:rsidR="00CB35FC" w:rsidRDefault="004B00D6" w:rsidP="00CB35FC">
            <w:pPr>
              <w:pStyle w:val="ListParagraph"/>
              <w:numPr>
                <w:ilvl w:val="0"/>
                <w:numId w:val="29"/>
              </w:numPr>
              <w:rPr>
                <w:rFonts w:ascii="Arial" w:hAnsi="Arial"/>
                <w:sz w:val="22"/>
                <w:szCs w:val="22"/>
              </w:rPr>
            </w:pPr>
            <w:r>
              <w:rPr>
                <w:rFonts w:ascii="Arial" w:hAnsi="Arial"/>
                <w:sz w:val="22"/>
                <w:szCs w:val="22"/>
              </w:rPr>
              <w:t>Be a</w:t>
            </w:r>
            <w:r w:rsidR="00CB35FC">
              <w:rPr>
                <w:rFonts w:ascii="Arial" w:hAnsi="Arial"/>
                <w:sz w:val="22"/>
                <w:szCs w:val="22"/>
              </w:rPr>
              <w:t xml:space="preserve"> q</w:t>
            </w:r>
            <w:r w:rsidR="00CB35FC" w:rsidRPr="00CB35FC">
              <w:rPr>
                <w:rFonts w:ascii="Arial" w:hAnsi="Arial"/>
                <w:sz w:val="22"/>
                <w:szCs w:val="22"/>
              </w:rPr>
              <w:t xml:space="preserve">ualified community pharmacist who is registered with the </w:t>
            </w:r>
            <w:proofErr w:type="spellStart"/>
            <w:r w:rsidR="00CB35FC" w:rsidRPr="00CB35FC">
              <w:rPr>
                <w:rFonts w:ascii="Arial" w:hAnsi="Arial"/>
                <w:sz w:val="22"/>
                <w:szCs w:val="22"/>
              </w:rPr>
              <w:t>GPhC</w:t>
            </w:r>
            <w:proofErr w:type="spellEnd"/>
            <w:r w:rsidR="00CB35FC">
              <w:rPr>
                <w:rFonts w:ascii="Arial" w:hAnsi="Arial"/>
                <w:sz w:val="22"/>
                <w:szCs w:val="22"/>
              </w:rPr>
              <w:t xml:space="preserve"> </w:t>
            </w:r>
            <w:r w:rsidR="00CB35FC" w:rsidRPr="00CB35FC">
              <w:rPr>
                <w:rFonts w:ascii="Arial" w:hAnsi="Arial"/>
                <w:sz w:val="22"/>
                <w:szCs w:val="22"/>
              </w:rPr>
              <w:t>AND accredited to use the Patient Group Direction (PGD) by</w:t>
            </w:r>
            <w:r w:rsidR="00CB35FC">
              <w:rPr>
                <w:rFonts w:ascii="Arial" w:hAnsi="Arial"/>
                <w:sz w:val="22"/>
                <w:szCs w:val="22"/>
              </w:rPr>
              <w:t xml:space="preserve"> </w:t>
            </w:r>
            <w:r w:rsidR="00CB35FC" w:rsidRPr="00CB35FC">
              <w:rPr>
                <w:rFonts w:ascii="Arial" w:hAnsi="Arial"/>
                <w:sz w:val="22"/>
                <w:szCs w:val="22"/>
              </w:rPr>
              <w:t>Hertfordsh</w:t>
            </w:r>
            <w:r w:rsidR="00CB35FC">
              <w:rPr>
                <w:rFonts w:ascii="Arial" w:hAnsi="Arial"/>
                <w:sz w:val="22"/>
                <w:szCs w:val="22"/>
              </w:rPr>
              <w:t>ire Stop Smoking Service (HSSS);</w:t>
            </w:r>
          </w:p>
          <w:p w14:paraId="3993AA04" w14:textId="285C7572" w:rsidR="00CB35FC" w:rsidRDefault="004B00D6" w:rsidP="00CB35FC">
            <w:pPr>
              <w:pStyle w:val="ListParagraph"/>
              <w:numPr>
                <w:ilvl w:val="0"/>
                <w:numId w:val="29"/>
              </w:numPr>
              <w:rPr>
                <w:rFonts w:ascii="Arial" w:hAnsi="Arial"/>
                <w:sz w:val="22"/>
                <w:szCs w:val="22"/>
              </w:rPr>
            </w:pPr>
            <w:r>
              <w:rPr>
                <w:rFonts w:ascii="Arial" w:hAnsi="Arial"/>
                <w:sz w:val="22"/>
                <w:szCs w:val="22"/>
              </w:rPr>
              <w:t>Be a</w:t>
            </w:r>
            <w:r w:rsidR="00CB35FC" w:rsidRPr="00CB35FC">
              <w:rPr>
                <w:rFonts w:ascii="Arial" w:hAnsi="Arial"/>
                <w:sz w:val="22"/>
                <w:szCs w:val="22"/>
              </w:rPr>
              <w:t>ware of the service specification</w:t>
            </w:r>
            <w:r w:rsidR="00CB35FC">
              <w:rPr>
                <w:rFonts w:ascii="Arial" w:hAnsi="Arial"/>
                <w:sz w:val="22"/>
                <w:szCs w:val="22"/>
              </w:rPr>
              <w:t xml:space="preserve"> </w:t>
            </w:r>
            <w:r w:rsidR="00CB35FC" w:rsidRPr="00CB35FC">
              <w:rPr>
                <w:rFonts w:ascii="Arial" w:hAnsi="Arial"/>
                <w:sz w:val="22"/>
                <w:szCs w:val="22"/>
              </w:rPr>
              <w:t>standards for providing a stop smoking service AND training</w:t>
            </w:r>
            <w:r w:rsidR="00CB35FC">
              <w:rPr>
                <w:rFonts w:ascii="Arial" w:hAnsi="Arial"/>
                <w:sz w:val="22"/>
                <w:szCs w:val="22"/>
              </w:rPr>
              <w:t xml:space="preserve"> </w:t>
            </w:r>
            <w:r w:rsidR="00CB35FC" w:rsidRPr="00CB35FC">
              <w:rPr>
                <w:rFonts w:ascii="Arial" w:hAnsi="Arial"/>
                <w:sz w:val="22"/>
                <w:szCs w:val="22"/>
              </w:rPr>
              <w:t xml:space="preserve">must include attendance at the </w:t>
            </w:r>
            <w:proofErr w:type="spellStart"/>
            <w:r w:rsidR="00CB35FC" w:rsidRPr="00CB35FC">
              <w:rPr>
                <w:rFonts w:ascii="Arial" w:hAnsi="Arial"/>
                <w:sz w:val="22"/>
                <w:szCs w:val="22"/>
              </w:rPr>
              <w:t>Varenicline</w:t>
            </w:r>
            <w:proofErr w:type="spellEnd"/>
            <w:r w:rsidR="00CB35FC" w:rsidRPr="00CB35FC">
              <w:rPr>
                <w:rFonts w:ascii="Arial" w:hAnsi="Arial"/>
                <w:sz w:val="22"/>
                <w:szCs w:val="22"/>
              </w:rPr>
              <w:t xml:space="preserve"> Accreditation Support</w:t>
            </w:r>
            <w:r w:rsidR="00CB35FC">
              <w:rPr>
                <w:rFonts w:ascii="Arial" w:hAnsi="Arial"/>
                <w:sz w:val="22"/>
                <w:szCs w:val="22"/>
              </w:rPr>
              <w:t xml:space="preserve"> </w:t>
            </w:r>
            <w:r w:rsidR="00CB35FC" w:rsidRPr="00CB35FC">
              <w:rPr>
                <w:rFonts w:ascii="Arial" w:hAnsi="Arial"/>
                <w:sz w:val="22"/>
                <w:szCs w:val="22"/>
              </w:rPr>
              <w:t>Event and completion of the CPPE e-learning module in Smoking</w:t>
            </w:r>
            <w:r w:rsidR="00CB35FC">
              <w:rPr>
                <w:rFonts w:ascii="Arial" w:hAnsi="Arial"/>
                <w:sz w:val="22"/>
                <w:szCs w:val="22"/>
              </w:rPr>
              <w:t xml:space="preserve"> </w:t>
            </w:r>
            <w:r w:rsidR="00CB35FC" w:rsidRPr="00CB35FC">
              <w:rPr>
                <w:rFonts w:ascii="Arial" w:hAnsi="Arial"/>
                <w:sz w:val="22"/>
                <w:szCs w:val="22"/>
              </w:rPr>
              <w:t>Cessation ‘Learning about stop smoking support guide’</w:t>
            </w:r>
            <w:r>
              <w:rPr>
                <w:rFonts w:ascii="Arial" w:hAnsi="Arial"/>
                <w:sz w:val="22"/>
                <w:szCs w:val="22"/>
              </w:rPr>
              <w:t>;</w:t>
            </w:r>
            <w:r w:rsidR="008B0071" w:rsidRPr="00CB35FC">
              <w:rPr>
                <w:rFonts w:ascii="Arial" w:hAnsi="Arial"/>
                <w:sz w:val="22"/>
                <w:szCs w:val="22"/>
              </w:rPr>
              <w:t xml:space="preserve"> </w:t>
            </w:r>
          </w:p>
          <w:p w14:paraId="496DC427" w14:textId="2B1E69A8" w:rsidR="00CB35FC" w:rsidRDefault="00CB35FC" w:rsidP="004B00D6">
            <w:pPr>
              <w:pStyle w:val="ListParagraph"/>
              <w:numPr>
                <w:ilvl w:val="0"/>
                <w:numId w:val="29"/>
              </w:numPr>
              <w:rPr>
                <w:rFonts w:ascii="Arial" w:hAnsi="Arial"/>
                <w:sz w:val="22"/>
                <w:szCs w:val="22"/>
              </w:rPr>
            </w:pPr>
            <w:r>
              <w:rPr>
                <w:rFonts w:ascii="Arial" w:hAnsi="Arial"/>
                <w:sz w:val="22"/>
                <w:szCs w:val="22"/>
              </w:rPr>
              <w:t xml:space="preserve">Be working in a </w:t>
            </w:r>
            <w:r w:rsidRPr="00CB35FC">
              <w:rPr>
                <w:rFonts w:ascii="Arial" w:hAnsi="Arial"/>
                <w:sz w:val="22"/>
                <w:szCs w:val="22"/>
              </w:rPr>
              <w:t>community pharmacy</w:t>
            </w:r>
            <w:r w:rsidR="004B00D6">
              <w:rPr>
                <w:rFonts w:ascii="Arial" w:hAnsi="Arial"/>
                <w:sz w:val="22"/>
                <w:szCs w:val="22"/>
              </w:rPr>
              <w:t xml:space="preserve"> that has</w:t>
            </w:r>
            <w:r w:rsidRPr="00CB35FC">
              <w:rPr>
                <w:rFonts w:ascii="Arial" w:hAnsi="Arial"/>
                <w:sz w:val="22"/>
                <w:szCs w:val="22"/>
              </w:rPr>
              <w:t xml:space="preserve"> a current contract with</w:t>
            </w:r>
            <w:r w:rsidR="004B00D6">
              <w:rPr>
                <w:rFonts w:ascii="Arial" w:hAnsi="Arial"/>
                <w:sz w:val="22"/>
                <w:szCs w:val="22"/>
              </w:rPr>
              <w:t xml:space="preserve"> </w:t>
            </w:r>
            <w:r w:rsidRPr="004B00D6">
              <w:rPr>
                <w:rFonts w:ascii="Arial" w:hAnsi="Arial"/>
                <w:sz w:val="22"/>
                <w:szCs w:val="22"/>
              </w:rPr>
              <w:t>Hertfordshire County Council Public Health Service to deliver stop</w:t>
            </w:r>
            <w:r w:rsidR="004B00D6">
              <w:rPr>
                <w:rFonts w:ascii="Arial" w:hAnsi="Arial"/>
                <w:sz w:val="22"/>
                <w:szCs w:val="22"/>
              </w:rPr>
              <w:t xml:space="preserve"> smoking services;</w:t>
            </w:r>
          </w:p>
          <w:p w14:paraId="3FBE38E9" w14:textId="6A03276D" w:rsidR="004B00D6" w:rsidRDefault="004B00D6" w:rsidP="004B00D6">
            <w:pPr>
              <w:pStyle w:val="ListParagraph"/>
              <w:numPr>
                <w:ilvl w:val="0"/>
                <w:numId w:val="29"/>
              </w:numPr>
              <w:rPr>
                <w:rFonts w:ascii="Arial" w:hAnsi="Arial"/>
                <w:sz w:val="22"/>
                <w:szCs w:val="22"/>
              </w:rPr>
            </w:pPr>
            <w:r>
              <w:rPr>
                <w:rFonts w:ascii="Arial" w:hAnsi="Arial"/>
                <w:sz w:val="22"/>
                <w:szCs w:val="22"/>
              </w:rPr>
              <w:t>H</w:t>
            </w:r>
            <w:r w:rsidRPr="004B00D6">
              <w:rPr>
                <w:rFonts w:ascii="Arial" w:hAnsi="Arial"/>
                <w:sz w:val="22"/>
                <w:szCs w:val="22"/>
              </w:rPr>
              <w:t>ave achieved the competency levels</w:t>
            </w:r>
            <w:r>
              <w:rPr>
                <w:rFonts w:ascii="Arial" w:hAnsi="Arial"/>
                <w:sz w:val="22"/>
                <w:szCs w:val="22"/>
              </w:rPr>
              <w:t xml:space="preserve"> </w:t>
            </w:r>
            <w:r w:rsidRPr="004B00D6">
              <w:rPr>
                <w:rFonts w:ascii="Arial" w:hAnsi="Arial"/>
                <w:sz w:val="22"/>
                <w:szCs w:val="22"/>
              </w:rPr>
              <w:t>specified in the NICE Competency Framework for Health</w:t>
            </w:r>
            <w:r>
              <w:rPr>
                <w:rFonts w:ascii="Arial" w:hAnsi="Arial"/>
                <w:sz w:val="22"/>
                <w:szCs w:val="22"/>
              </w:rPr>
              <w:t xml:space="preserve"> </w:t>
            </w:r>
            <w:r w:rsidRPr="004B00D6">
              <w:rPr>
                <w:rFonts w:ascii="Arial" w:hAnsi="Arial"/>
                <w:sz w:val="22"/>
                <w:szCs w:val="22"/>
              </w:rPr>
              <w:t>Professional</w:t>
            </w:r>
            <w:r>
              <w:rPr>
                <w:rFonts w:ascii="Arial" w:hAnsi="Arial"/>
                <w:sz w:val="22"/>
                <w:szCs w:val="22"/>
              </w:rPr>
              <w:t xml:space="preserve"> using Patient Group Directions;</w:t>
            </w:r>
          </w:p>
          <w:p w14:paraId="160C647B" w14:textId="29239262" w:rsidR="004B00D6" w:rsidRDefault="004B00D6" w:rsidP="004B00D6">
            <w:pPr>
              <w:pStyle w:val="ListParagraph"/>
              <w:numPr>
                <w:ilvl w:val="0"/>
                <w:numId w:val="29"/>
              </w:numPr>
              <w:rPr>
                <w:rFonts w:ascii="Arial" w:hAnsi="Arial"/>
                <w:sz w:val="22"/>
                <w:szCs w:val="22"/>
              </w:rPr>
            </w:pPr>
            <w:r>
              <w:rPr>
                <w:rFonts w:ascii="Arial" w:hAnsi="Arial"/>
                <w:sz w:val="22"/>
                <w:szCs w:val="22"/>
              </w:rPr>
              <w:t xml:space="preserve">Keep up to date with any </w:t>
            </w:r>
            <w:r w:rsidRPr="004B00D6">
              <w:rPr>
                <w:rFonts w:ascii="Arial" w:hAnsi="Arial"/>
                <w:sz w:val="22"/>
                <w:szCs w:val="22"/>
              </w:rPr>
              <w:t>recommendations for the medicine listed</w:t>
            </w:r>
          </w:p>
          <w:p w14:paraId="1F5D52A5" w14:textId="1FDF3EAD" w:rsidR="00F04228" w:rsidRPr="004B00D6" w:rsidRDefault="004B00D6" w:rsidP="004B00D6">
            <w:pPr>
              <w:pStyle w:val="ListParagraph"/>
              <w:numPr>
                <w:ilvl w:val="0"/>
                <w:numId w:val="29"/>
              </w:numPr>
              <w:rPr>
                <w:rFonts w:ascii="Arial" w:hAnsi="Arial"/>
                <w:sz w:val="22"/>
                <w:szCs w:val="22"/>
              </w:rPr>
            </w:pPr>
            <w:r>
              <w:rPr>
                <w:rFonts w:ascii="Arial" w:hAnsi="Arial"/>
                <w:sz w:val="22"/>
                <w:szCs w:val="22"/>
              </w:rPr>
              <w:t>Ensure that t</w:t>
            </w:r>
            <w:r w:rsidRPr="004B00D6">
              <w:rPr>
                <w:rFonts w:ascii="Arial" w:hAnsi="Arial"/>
                <w:sz w:val="22"/>
                <w:szCs w:val="22"/>
              </w:rPr>
              <w:t xml:space="preserve">he </w:t>
            </w:r>
            <w:r>
              <w:rPr>
                <w:rFonts w:ascii="Arial" w:hAnsi="Arial"/>
                <w:sz w:val="22"/>
                <w:szCs w:val="22"/>
              </w:rPr>
              <w:t xml:space="preserve">pharmacy manager and the </w:t>
            </w:r>
            <w:r w:rsidRPr="004B00D6">
              <w:rPr>
                <w:rFonts w:ascii="Arial" w:hAnsi="Arial"/>
                <w:sz w:val="22"/>
                <w:szCs w:val="22"/>
              </w:rPr>
              <w:t xml:space="preserve">superintendent pharmacist </w:t>
            </w:r>
            <w:r>
              <w:rPr>
                <w:rFonts w:ascii="Arial" w:hAnsi="Arial"/>
                <w:sz w:val="22"/>
                <w:szCs w:val="22"/>
              </w:rPr>
              <w:t>is apprised of a pharmacies involvement in order to</w:t>
            </w:r>
            <w:r w:rsidRPr="004B00D6">
              <w:rPr>
                <w:rFonts w:ascii="Arial" w:hAnsi="Arial"/>
                <w:sz w:val="22"/>
                <w:szCs w:val="22"/>
              </w:rPr>
              <w:t xml:space="preserve"> maintain records and</w:t>
            </w:r>
            <w:r>
              <w:rPr>
                <w:rFonts w:ascii="Arial" w:hAnsi="Arial"/>
                <w:sz w:val="22"/>
                <w:szCs w:val="22"/>
              </w:rPr>
              <w:t xml:space="preserve"> </w:t>
            </w:r>
            <w:r w:rsidRPr="004B00D6">
              <w:rPr>
                <w:rFonts w:ascii="Arial" w:hAnsi="Arial"/>
                <w:sz w:val="22"/>
                <w:szCs w:val="22"/>
              </w:rPr>
              <w:t>names of individuals who are competent and signed up to</w:t>
            </w:r>
            <w:r>
              <w:rPr>
                <w:rFonts w:ascii="Arial" w:hAnsi="Arial"/>
                <w:sz w:val="22"/>
                <w:szCs w:val="22"/>
              </w:rPr>
              <w:t xml:space="preserve"> </w:t>
            </w:r>
            <w:r w:rsidRPr="004B00D6">
              <w:rPr>
                <w:rFonts w:ascii="Arial" w:hAnsi="Arial"/>
                <w:sz w:val="22"/>
                <w:szCs w:val="22"/>
              </w:rPr>
              <w:t xml:space="preserve">operate the PGD in the pharmacy. </w:t>
            </w:r>
          </w:p>
        </w:tc>
      </w:tr>
      <w:tr w:rsidR="00720684" w:rsidRPr="00BB2BD7" w14:paraId="1DA22374" w14:textId="77777777" w:rsidTr="00231279">
        <w:tc>
          <w:tcPr>
            <w:tcW w:w="11194" w:type="dxa"/>
            <w:gridSpan w:val="6"/>
          </w:tcPr>
          <w:p w14:paraId="0B34FCD9" w14:textId="77777777" w:rsidR="00692DD1" w:rsidRPr="00BB2BD7" w:rsidRDefault="00692DD1" w:rsidP="00692DD1">
            <w:pPr>
              <w:rPr>
                <w:rFonts w:ascii="Arial" w:hAnsi="Arial"/>
                <w:b/>
                <w:sz w:val="22"/>
                <w:szCs w:val="22"/>
              </w:rPr>
            </w:pPr>
            <w:r w:rsidRPr="00BB2BD7">
              <w:rPr>
                <w:rFonts w:ascii="Arial" w:hAnsi="Arial"/>
                <w:b/>
                <w:sz w:val="22"/>
                <w:szCs w:val="22"/>
              </w:rPr>
              <w:t>Facilities</w:t>
            </w:r>
          </w:p>
          <w:p w14:paraId="1F6FC340" w14:textId="5F1F1C87" w:rsidR="00692DD1" w:rsidRPr="00BB2BD7" w:rsidRDefault="006B385F" w:rsidP="006B385F">
            <w:pPr>
              <w:rPr>
                <w:rFonts w:ascii="Arial" w:hAnsi="Arial"/>
                <w:sz w:val="22"/>
                <w:szCs w:val="22"/>
              </w:rPr>
            </w:pPr>
            <w:r>
              <w:rPr>
                <w:rFonts w:ascii="Arial" w:hAnsi="Arial"/>
                <w:sz w:val="22"/>
                <w:szCs w:val="22"/>
              </w:rPr>
              <w:t>P</w:t>
            </w:r>
            <w:r w:rsidRPr="006B385F">
              <w:rPr>
                <w:rFonts w:ascii="Arial" w:hAnsi="Arial"/>
                <w:sz w:val="22"/>
                <w:szCs w:val="22"/>
              </w:rPr>
              <w:t>harmacies must have a suitable consultation room that meets</w:t>
            </w:r>
            <w:r>
              <w:rPr>
                <w:rFonts w:ascii="Arial" w:hAnsi="Arial"/>
                <w:sz w:val="22"/>
                <w:szCs w:val="22"/>
              </w:rPr>
              <w:t xml:space="preserve"> </w:t>
            </w:r>
            <w:r w:rsidRPr="006B385F">
              <w:rPr>
                <w:rFonts w:ascii="Arial" w:hAnsi="Arial"/>
                <w:sz w:val="22"/>
                <w:szCs w:val="22"/>
              </w:rPr>
              <w:t>the specification for provision of NHS advanced services, as</w:t>
            </w:r>
            <w:r>
              <w:rPr>
                <w:rFonts w:ascii="Arial" w:hAnsi="Arial"/>
                <w:sz w:val="22"/>
                <w:szCs w:val="22"/>
              </w:rPr>
              <w:t xml:space="preserve"> </w:t>
            </w:r>
            <w:r w:rsidRPr="006B385F">
              <w:rPr>
                <w:rFonts w:ascii="Arial" w:hAnsi="Arial"/>
                <w:sz w:val="22"/>
                <w:szCs w:val="22"/>
              </w:rPr>
              <w:t>described in the Public Health Contract with community</w:t>
            </w:r>
            <w:r>
              <w:rPr>
                <w:rFonts w:ascii="Arial" w:hAnsi="Arial"/>
                <w:sz w:val="22"/>
                <w:szCs w:val="22"/>
              </w:rPr>
              <w:t xml:space="preserve"> </w:t>
            </w:r>
            <w:r w:rsidRPr="006B385F">
              <w:rPr>
                <w:rFonts w:ascii="Arial" w:hAnsi="Arial"/>
                <w:sz w:val="22"/>
                <w:szCs w:val="22"/>
              </w:rPr>
              <w:t>pharmacy contractors. All medicines dispensed under this PGD</w:t>
            </w:r>
            <w:r>
              <w:rPr>
                <w:rFonts w:ascii="Arial" w:hAnsi="Arial"/>
                <w:sz w:val="22"/>
                <w:szCs w:val="22"/>
              </w:rPr>
              <w:t xml:space="preserve"> </w:t>
            </w:r>
            <w:r w:rsidRPr="006B385F">
              <w:rPr>
                <w:rFonts w:ascii="Arial" w:hAnsi="Arial"/>
                <w:sz w:val="22"/>
                <w:szCs w:val="22"/>
              </w:rPr>
              <w:t>must be procured and stored according to the requirements of</w:t>
            </w:r>
            <w:r>
              <w:rPr>
                <w:rFonts w:ascii="Arial" w:hAnsi="Arial"/>
                <w:sz w:val="22"/>
                <w:szCs w:val="22"/>
              </w:rPr>
              <w:t xml:space="preserve"> </w:t>
            </w:r>
            <w:r w:rsidRPr="006B385F">
              <w:rPr>
                <w:rFonts w:ascii="Arial" w:hAnsi="Arial"/>
                <w:sz w:val="22"/>
                <w:szCs w:val="22"/>
              </w:rPr>
              <w:t>the Medicines Act 2012. Details of the product(s) supplied,</w:t>
            </w:r>
            <w:r>
              <w:rPr>
                <w:rFonts w:ascii="Arial" w:hAnsi="Arial"/>
                <w:sz w:val="22"/>
                <w:szCs w:val="22"/>
              </w:rPr>
              <w:t xml:space="preserve"> </w:t>
            </w:r>
            <w:r w:rsidRPr="006B385F">
              <w:rPr>
                <w:rFonts w:ascii="Arial" w:hAnsi="Arial"/>
                <w:sz w:val="22"/>
                <w:szCs w:val="22"/>
              </w:rPr>
              <w:t>invoices, and prescription charges collected must be recorded.</w:t>
            </w:r>
          </w:p>
        </w:tc>
      </w:tr>
      <w:tr w:rsidR="00692DD1" w:rsidRPr="00BB2BD7" w14:paraId="068E1D7C" w14:textId="77777777" w:rsidTr="00231279">
        <w:tc>
          <w:tcPr>
            <w:tcW w:w="11194" w:type="dxa"/>
            <w:gridSpan w:val="6"/>
          </w:tcPr>
          <w:p w14:paraId="4E64A801" w14:textId="150DDFD6" w:rsidR="00692DD1" w:rsidRPr="00BB2BD7" w:rsidRDefault="00692DD1" w:rsidP="00692DD1">
            <w:pPr>
              <w:rPr>
                <w:rFonts w:ascii="Arial" w:hAnsi="Arial"/>
                <w:b/>
                <w:sz w:val="22"/>
                <w:szCs w:val="22"/>
              </w:rPr>
            </w:pPr>
            <w:r w:rsidRPr="00BB2BD7">
              <w:rPr>
                <w:rFonts w:ascii="Arial" w:hAnsi="Arial"/>
                <w:b/>
                <w:sz w:val="22"/>
                <w:szCs w:val="22"/>
              </w:rPr>
              <w:t>The process stages</w:t>
            </w:r>
          </w:p>
        </w:tc>
      </w:tr>
      <w:tr w:rsidR="00692DD1" w:rsidRPr="00BB2BD7" w14:paraId="0ED1730F" w14:textId="77777777" w:rsidTr="00692DD1">
        <w:tc>
          <w:tcPr>
            <w:tcW w:w="534" w:type="dxa"/>
          </w:tcPr>
          <w:p w14:paraId="07BC972B" w14:textId="35DE60AE" w:rsidR="00692DD1" w:rsidRPr="00BB2BD7" w:rsidRDefault="00692DD1" w:rsidP="003F151E">
            <w:pPr>
              <w:rPr>
                <w:rFonts w:ascii="Arial" w:hAnsi="Arial"/>
                <w:sz w:val="22"/>
                <w:szCs w:val="22"/>
              </w:rPr>
            </w:pPr>
            <w:r w:rsidRPr="00BB2BD7">
              <w:rPr>
                <w:rFonts w:ascii="Arial" w:hAnsi="Arial"/>
                <w:sz w:val="22"/>
                <w:szCs w:val="22"/>
              </w:rPr>
              <w:t>1</w:t>
            </w:r>
          </w:p>
        </w:tc>
        <w:tc>
          <w:tcPr>
            <w:tcW w:w="10660" w:type="dxa"/>
            <w:gridSpan w:val="5"/>
          </w:tcPr>
          <w:p w14:paraId="2D7EDDF1" w14:textId="4DFC66CE" w:rsidR="00692DD1" w:rsidRPr="00D35F7A" w:rsidRDefault="00BF6E96" w:rsidP="00692DD1">
            <w:pPr>
              <w:rPr>
                <w:rFonts w:ascii="Arial" w:hAnsi="Arial"/>
                <w:b/>
                <w:sz w:val="22"/>
                <w:szCs w:val="22"/>
              </w:rPr>
            </w:pPr>
            <w:r w:rsidRPr="00D35F7A">
              <w:rPr>
                <w:rFonts w:ascii="Arial" w:hAnsi="Arial"/>
                <w:b/>
                <w:sz w:val="22"/>
                <w:szCs w:val="22"/>
              </w:rPr>
              <w:t>First Contact</w:t>
            </w:r>
          </w:p>
          <w:p w14:paraId="10A30240" w14:textId="36B0D6C4" w:rsidR="00BF6E96" w:rsidRPr="00BF6E96" w:rsidRDefault="00BF6E96" w:rsidP="00BF6E96">
            <w:pPr>
              <w:rPr>
                <w:rFonts w:ascii="Arial" w:hAnsi="Arial"/>
                <w:sz w:val="22"/>
                <w:szCs w:val="22"/>
              </w:rPr>
            </w:pPr>
            <w:r w:rsidRPr="00BF6E96">
              <w:rPr>
                <w:rFonts w:ascii="Arial" w:hAnsi="Arial"/>
                <w:sz w:val="22"/>
                <w:szCs w:val="22"/>
              </w:rPr>
              <w:t>Service User presents for help to st</w:t>
            </w:r>
            <w:r>
              <w:rPr>
                <w:rFonts w:ascii="Arial" w:hAnsi="Arial"/>
                <w:sz w:val="22"/>
                <w:szCs w:val="22"/>
              </w:rPr>
              <w:t xml:space="preserve">op smoking at a local pharmacy. </w:t>
            </w:r>
            <w:r w:rsidRPr="00BF6E96">
              <w:rPr>
                <w:rFonts w:ascii="Arial" w:hAnsi="Arial"/>
                <w:sz w:val="22"/>
                <w:szCs w:val="22"/>
              </w:rPr>
              <w:t>If Service User wants to quit, explain service and expectation of weekly support for</w:t>
            </w:r>
            <w:r>
              <w:rPr>
                <w:rFonts w:ascii="Arial" w:hAnsi="Arial"/>
                <w:sz w:val="22"/>
                <w:szCs w:val="22"/>
              </w:rPr>
              <w:t xml:space="preserve"> </w:t>
            </w:r>
            <w:r w:rsidRPr="00BF6E96">
              <w:rPr>
                <w:rFonts w:ascii="Arial" w:hAnsi="Arial"/>
                <w:sz w:val="22"/>
                <w:szCs w:val="22"/>
              </w:rPr>
              <w:t>best chance of success; give Health Questionnaire, booklet on stopping smoking and</w:t>
            </w:r>
            <w:r>
              <w:rPr>
                <w:rFonts w:ascii="Arial" w:hAnsi="Arial"/>
                <w:sz w:val="22"/>
                <w:szCs w:val="22"/>
              </w:rPr>
              <w:t xml:space="preserve"> </w:t>
            </w:r>
            <w:r w:rsidRPr="00BF6E96">
              <w:rPr>
                <w:rFonts w:ascii="Arial" w:hAnsi="Arial"/>
                <w:sz w:val="22"/>
                <w:szCs w:val="22"/>
              </w:rPr>
              <w:t>make first appointment. Consider referral to specialist service if Service User is</w:t>
            </w:r>
          </w:p>
          <w:p w14:paraId="376E17F0" w14:textId="77777777" w:rsidR="00BF6E96" w:rsidRDefault="00BF6E96" w:rsidP="00BF6E96">
            <w:pPr>
              <w:rPr>
                <w:rFonts w:ascii="Arial" w:hAnsi="Arial"/>
                <w:sz w:val="22"/>
                <w:szCs w:val="22"/>
              </w:rPr>
            </w:pPr>
            <w:proofErr w:type="gramStart"/>
            <w:r w:rsidRPr="00BF6E96">
              <w:rPr>
                <w:rFonts w:ascii="Arial" w:hAnsi="Arial"/>
                <w:sz w:val="22"/>
                <w:szCs w:val="22"/>
              </w:rPr>
              <w:t>pregnant</w:t>
            </w:r>
            <w:proofErr w:type="gramEnd"/>
            <w:r w:rsidRPr="00BF6E96">
              <w:rPr>
                <w:rFonts w:ascii="Arial" w:hAnsi="Arial"/>
                <w:sz w:val="22"/>
                <w:szCs w:val="22"/>
              </w:rPr>
              <w:t>, has a mental health condition or complex needs, or has not quit successfully</w:t>
            </w:r>
            <w:r>
              <w:rPr>
                <w:rFonts w:ascii="Arial" w:hAnsi="Arial"/>
                <w:sz w:val="22"/>
                <w:szCs w:val="22"/>
              </w:rPr>
              <w:t xml:space="preserve"> </w:t>
            </w:r>
            <w:r w:rsidRPr="00BF6E96">
              <w:rPr>
                <w:rFonts w:ascii="Arial" w:hAnsi="Arial"/>
                <w:sz w:val="22"/>
                <w:szCs w:val="22"/>
              </w:rPr>
              <w:t xml:space="preserve">with your service previously. </w:t>
            </w:r>
          </w:p>
          <w:p w14:paraId="3123AFBE" w14:textId="77777777" w:rsidR="00BF6E96" w:rsidRDefault="00BF6E96" w:rsidP="00BF6E96">
            <w:pPr>
              <w:rPr>
                <w:rFonts w:ascii="Arial" w:hAnsi="Arial"/>
                <w:sz w:val="22"/>
                <w:szCs w:val="22"/>
              </w:rPr>
            </w:pPr>
          </w:p>
          <w:p w14:paraId="277356B0" w14:textId="468CA9E7" w:rsidR="00E349BB" w:rsidRPr="00BB2BD7" w:rsidRDefault="00BF6E96" w:rsidP="00BF6E96">
            <w:pPr>
              <w:rPr>
                <w:rFonts w:ascii="Arial" w:hAnsi="Arial"/>
                <w:sz w:val="22"/>
                <w:szCs w:val="22"/>
              </w:rPr>
            </w:pPr>
            <w:r w:rsidRPr="00BF6E96">
              <w:rPr>
                <w:rFonts w:ascii="Arial" w:hAnsi="Arial"/>
                <w:sz w:val="22"/>
                <w:szCs w:val="22"/>
              </w:rPr>
              <w:t>Explain commitment is for at least 4 weeks following</w:t>
            </w:r>
            <w:r>
              <w:rPr>
                <w:rFonts w:ascii="Arial" w:hAnsi="Arial"/>
                <w:sz w:val="22"/>
                <w:szCs w:val="22"/>
              </w:rPr>
              <w:t xml:space="preserve"> </w:t>
            </w:r>
            <w:r w:rsidRPr="00BF6E96">
              <w:rPr>
                <w:rFonts w:ascii="Arial" w:hAnsi="Arial"/>
                <w:sz w:val="22"/>
                <w:szCs w:val="22"/>
              </w:rPr>
              <w:t>quit date.</w:t>
            </w:r>
            <w:r>
              <w:rPr>
                <w:rFonts w:ascii="Arial" w:hAnsi="Arial"/>
                <w:sz w:val="22"/>
                <w:szCs w:val="22"/>
              </w:rPr>
              <w:t xml:space="preserve"> </w:t>
            </w:r>
            <w:r w:rsidRPr="00BF6E96">
              <w:rPr>
                <w:rFonts w:ascii="Arial" w:hAnsi="Arial"/>
                <w:sz w:val="22"/>
                <w:szCs w:val="22"/>
              </w:rPr>
              <w:t>If Service User not ready to quit, ensure they are welcomed to access service at later</w:t>
            </w:r>
            <w:r>
              <w:rPr>
                <w:rFonts w:ascii="Arial" w:hAnsi="Arial"/>
                <w:sz w:val="22"/>
                <w:szCs w:val="22"/>
              </w:rPr>
              <w:t xml:space="preserve"> </w:t>
            </w:r>
            <w:r w:rsidRPr="00BF6E96">
              <w:rPr>
                <w:rFonts w:ascii="Arial" w:hAnsi="Arial"/>
                <w:sz w:val="22"/>
                <w:szCs w:val="22"/>
              </w:rPr>
              <w:t>date and give harm reduction advice, including advice on e-cigarettes.</w:t>
            </w:r>
          </w:p>
        </w:tc>
      </w:tr>
      <w:tr w:rsidR="00692DD1" w:rsidRPr="00BB2BD7" w14:paraId="08558523" w14:textId="77777777" w:rsidTr="00692DD1">
        <w:tc>
          <w:tcPr>
            <w:tcW w:w="534" w:type="dxa"/>
          </w:tcPr>
          <w:p w14:paraId="1437C71E" w14:textId="43340845" w:rsidR="00692DD1" w:rsidRPr="00BB2BD7" w:rsidRDefault="00692DD1" w:rsidP="003F151E">
            <w:pPr>
              <w:rPr>
                <w:rFonts w:ascii="Arial" w:hAnsi="Arial"/>
                <w:sz w:val="22"/>
                <w:szCs w:val="22"/>
              </w:rPr>
            </w:pPr>
            <w:r w:rsidRPr="00BB2BD7">
              <w:rPr>
                <w:rFonts w:ascii="Arial" w:hAnsi="Arial"/>
                <w:sz w:val="22"/>
                <w:szCs w:val="22"/>
              </w:rPr>
              <w:t>2</w:t>
            </w:r>
          </w:p>
        </w:tc>
        <w:tc>
          <w:tcPr>
            <w:tcW w:w="10660" w:type="dxa"/>
            <w:gridSpan w:val="5"/>
          </w:tcPr>
          <w:p w14:paraId="59B33425" w14:textId="352023E9" w:rsidR="00BF6E96" w:rsidRPr="00D35F7A" w:rsidRDefault="00BF6E96" w:rsidP="00D35F7A">
            <w:pPr>
              <w:rPr>
                <w:rFonts w:ascii="Arial" w:hAnsi="Arial"/>
                <w:b/>
                <w:sz w:val="22"/>
                <w:szCs w:val="22"/>
              </w:rPr>
            </w:pPr>
            <w:r w:rsidRPr="00D35F7A">
              <w:rPr>
                <w:rFonts w:ascii="Arial" w:hAnsi="Arial"/>
                <w:b/>
                <w:sz w:val="22"/>
                <w:szCs w:val="22"/>
              </w:rPr>
              <w:t>First Appointment</w:t>
            </w:r>
            <w:r w:rsidR="00D35F7A">
              <w:rPr>
                <w:rFonts w:ascii="Arial" w:hAnsi="Arial"/>
                <w:b/>
                <w:sz w:val="22"/>
                <w:szCs w:val="22"/>
              </w:rPr>
              <w:t xml:space="preserve"> </w:t>
            </w:r>
            <w:r w:rsidR="00D35F7A">
              <w:rPr>
                <w:rFonts w:ascii="Arial" w:hAnsi="Arial"/>
                <w:sz w:val="22"/>
                <w:szCs w:val="22"/>
              </w:rPr>
              <w:t>(</w:t>
            </w:r>
            <w:r w:rsidRPr="00D35F7A">
              <w:rPr>
                <w:rFonts w:ascii="Arial" w:hAnsi="Arial"/>
                <w:sz w:val="22"/>
                <w:szCs w:val="22"/>
              </w:rPr>
              <w:t>Usual</w:t>
            </w:r>
            <w:r w:rsidR="00D35F7A">
              <w:rPr>
                <w:rFonts w:ascii="Arial" w:hAnsi="Arial"/>
                <w:sz w:val="22"/>
                <w:szCs w:val="22"/>
              </w:rPr>
              <w:t xml:space="preserve">ly pre-quit - </w:t>
            </w:r>
            <w:r w:rsidRPr="00D35F7A">
              <w:rPr>
                <w:rFonts w:ascii="Arial" w:hAnsi="Arial"/>
                <w:sz w:val="22"/>
                <w:szCs w:val="22"/>
              </w:rPr>
              <w:t>30 mins or 45 mins if pregnant</w:t>
            </w:r>
            <w:r w:rsidR="00D35F7A">
              <w:rPr>
                <w:rFonts w:ascii="Arial" w:hAnsi="Arial"/>
                <w:sz w:val="22"/>
                <w:szCs w:val="22"/>
              </w:rPr>
              <w:t>)</w:t>
            </w:r>
          </w:p>
          <w:p w14:paraId="4AE44EFA" w14:textId="77777777" w:rsidR="00BF6E96" w:rsidRPr="00BF6E96" w:rsidRDefault="00BF6E96" w:rsidP="00BF6E96">
            <w:pPr>
              <w:pStyle w:val="ListParagraph"/>
              <w:numPr>
                <w:ilvl w:val="0"/>
                <w:numId w:val="25"/>
              </w:numPr>
              <w:rPr>
                <w:rFonts w:ascii="Arial" w:hAnsi="Arial"/>
                <w:sz w:val="22"/>
                <w:szCs w:val="22"/>
              </w:rPr>
            </w:pPr>
            <w:r w:rsidRPr="00BF6E96">
              <w:rPr>
                <w:rFonts w:ascii="Arial" w:hAnsi="Arial"/>
                <w:sz w:val="22"/>
                <w:szCs w:val="22"/>
              </w:rPr>
              <w:t>Establish Service User relationship</w:t>
            </w:r>
          </w:p>
          <w:p w14:paraId="33B69700" w14:textId="77777777" w:rsidR="00BF6E96" w:rsidRPr="00BF6E96" w:rsidRDefault="00BF6E96" w:rsidP="00BF6E96">
            <w:pPr>
              <w:pStyle w:val="ListParagraph"/>
              <w:numPr>
                <w:ilvl w:val="0"/>
                <w:numId w:val="25"/>
              </w:numPr>
              <w:rPr>
                <w:rFonts w:ascii="Arial" w:hAnsi="Arial"/>
                <w:sz w:val="22"/>
                <w:szCs w:val="22"/>
              </w:rPr>
            </w:pPr>
            <w:r w:rsidRPr="00BF6E96">
              <w:rPr>
                <w:rFonts w:ascii="Arial" w:hAnsi="Arial"/>
                <w:sz w:val="22"/>
                <w:szCs w:val="22"/>
              </w:rPr>
              <w:t>Note relevant medical history/medication from Health Questionnaire</w:t>
            </w:r>
          </w:p>
          <w:p w14:paraId="7ECBAE18" w14:textId="77777777" w:rsidR="00BF6E96" w:rsidRPr="00BF6E96" w:rsidRDefault="00BF6E96" w:rsidP="00BF6E96">
            <w:pPr>
              <w:pStyle w:val="ListParagraph"/>
              <w:numPr>
                <w:ilvl w:val="0"/>
                <w:numId w:val="25"/>
              </w:numPr>
              <w:rPr>
                <w:rFonts w:ascii="Arial" w:hAnsi="Arial"/>
                <w:sz w:val="22"/>
                <w:szCs w:val="22"/>
              </w:rPr>
            </w:pPr>
            <w:r w:rsidRPr="00BF6E96">
              <w:rPr>
                <w:rFonts w:ascii="Arial" w:hAnsi="Arial"/>
                <w:sz w:val="22"/>
                <w:szCs w:val="22"/>
              </w:rPr>
              <w:t>Assess smoking history and current dependency (</w:t>
            </w:r>
            <w:proofErr w:type="spellStart"/>
            <w:r w:rsidRPr="00BF6E96">
              <w:rPr>
                <w:rFonts w:ascii="Arial" w:hAnsi="Arial"/>
                <w:sz w:val="22"/>
                <w:szCs w:val="22"/>
              </w:rPr>
              <w:t>Fagerstrom</w:t>
            </w:r>
            <w:proofErr w:type="spellEnd"/>
            <w:r w:rsidRPr="00BF6E96">
              <w:rPr>
                <w:rFonts w:ascii="Arial" w:hAnsi="Arial"/>
                <w:sz w:val="22"/>
                <w:szCs w:val="22"/>
              </w:rPr>
              <w:t xml:space="preserve"> Test)</w:t>
            </w:r>
          </w:p>
          <w:p w14:paraId="66E2B96A" w14:textId="77777777" w:rsidR="00BF6E96" w:rsidRPr="00BF6E96" w:rsidRDefault="00BF6E96" w:rsidP="00BF6E96">
            <w:pPr>
              <w:pStyle w:val="ListParagraph"/>
              <w:numPr>
                <w:ilvl w:val="0"/>
                <w:numId w:val="25"/>
              </w:numPr>
              <w:rPr>
                <w:rFonts w:ascii="Arial" w:hAnsi="Arial"/>
                <w:sz w:val="22"/>
                <w:szCs w:val="22"/>
              </w:rPr>
            </w:pPr>
            <w:r w:rsidRPr="00BF6E96">
              <w:rPr>
                <w:rFonts w:ascii="Arial" w:hAnsi="Arial"/>
                <w:sz w:val="22"/>
                <w:szCs w:val="22"/>
              </w:rPr>
              <w:t>Assess motivation and confidence to quit</w:t>
            </w:r>
          </w:p>
          <w:p w14:paraId="22F00A86" w14:textId="77777777" w:rsidR="00BF6E96" w:rsidRPr="00BF6E96" w:rsidRDefault="00BF6E96" w:rsidP="00BF6E96">
            <w:pPr>
              <w:pStyle w:val="ListParagraph"/>
              <w:numPr>
                <w:ilvl w:val="0"/>
                <w:numId w:val="25"/>
              </w:numPr>
              <w:rPr>
                <w:rFonts w:ascii="Arial" w:hAnsi="Arial"/>
                <w:sz w:val="22"/>
                <w:szCs w:val="22"/>
              </w:rPr>
            </w:pPr>
            <w:r w:rsidRPr="00BF6E96">
              <w:rPr>
                <w:rFonts w:ascii="Arial" w:hAnsi="Arial"/>
                <w:sz w:val="22"/>
                <w:szCs w:val="22"/>
              </w:rPr>
              <w:t xml:space="preserve">CONSENT: complete </w:t>
            </w:r>
            <w:proofErr w:type="spellStart"/>
            <w:r w:rsidRPr="00BF6E96">
              <w:rPr>
                <w:rFonts w:ascii="Arial" w:hAnsi="Arial"/>
                <w:sz w:val="22"/>
                <w:szCs w:val="22"/>
              </w:rPr>
              <w:t>QuitManager</w:t>
            </w:r>
            <w:proofErr w:type="spellEnd"/>
            <w:r w:rsidRPr="00BF6E96">
              <w:rPr>
                <w:rFonts w:ascii="Arial" w:hAnsi="Arial"/>
                <w:sz w:val="22"/>
                <w:szCs w:val="22"/>
              </w:rPr>
              <w:t xml:space="preserve"> or Service User to sign Monitoring Form</w:t>
            </w:r>
          </w:p>
          <w:p w14:paraId="635328EA" w14:textId="408AE5B3" w:rsidR="00D35F7A" w:rsidRPr="003F5318" w:rsidRDefault="00BF6E96" w:rsidP="00BF6E96">
            <w:pPr>
              <w:pStyle w:val="ListParagraph"/>
              <w:numPr>
                <w:ilvl w:val="0"/>
                <w:numId w:val="25"/>
              </w:numPr>
              <w:rPr>
                <w:rFonts w:ascii="Arial" w:hAnsi="Arial"/>
                <w:sz w:val="22"/>
                <w:szCs w:val="22"/>
              </w:rPr>
            </w:pPr>
            <w:r w:rsidRPr="00BF6E96">
              <w:rPr>
                <w:rFonts w:ascii="Arial" w:hAnsi="Arial"/>
                <w:sz w:val="22"/>
                <w:szCs w:val="22"/>
              </w:rPr>
              <w:t>Explain CO monitoring and record reading (use as motivational tool)</w:t>
            </w:r>
          </w:p>
        </w:tc>
      </w:tr>
    </w:tbl>
    <w:p w14:paraId="1E3294D0" w14:textId="7B13CAF5" w:rsidR="00BB2BD7" w:rsidRPr="00BB2BD7" w:rsidRDefault="00BB2BD7" w:rsidP="003F151E">
      <w:pPr>
        <w:rPr>
          <w:rFonts w:ascii="Arial" w:hAnsi="Arial"/>
          <w:sz w:val="20"/>
          <w:szCs w:val="20"/>
        </w:rPr>
      </w:pPr>
    </w:p>
    <w:tbl>
      <w:tblPr>
        <w:tblStyle w:val="TableGrid"/>
        <w:tblW w:w="11194" w:type="dxa"/>
        <w:tblLook w:val="04A0" w:firstRow="1" w:lastRow="0" w:firstColumn="1" w:lastColumn="0" w:noHBand="0" w:noVBand="1"/>
      </w:tblPr>
      <w:tblGrid>
        <w:gridCol w:w="728"/>
        <w:gridCol w:w="2815"/>
        <w:gridCol w:w="2220"/>
        <w:gridCol w:w="2633"/>
        <w:gridCol w:w="1686"/>
        <w:gridCol w:w="1112"/>
      </w:tblGrid>
      <w:tr w:rsidR="00E95D1C" w:rsidRPr="00BB2BD7" w14:paraId="0E531807" w14:textId="77777777" w:rsidTr="003F5318">
        <w:tc>
          <w:tcPr>
            <w:tcW w:w="3543" w:type="dxa"/>
            <w:gridSpan w:val="2"/>
          </w:tcPr>
          <w:p w14:paraId="63F09177" w14:textId="77777777" w:rsidR="00E95D1C" w:rsidRPr="00BB2BD7" w:rsidRDefault="00E95D1C" w:rsidP="004D105E">
            <w:pPr>
              <w:rPr>
                <w:rFonts w:ascii="Arial" w:hAnsi="Arial"/>
                <w:b/>
                <w:sz w:val="22"/>
                <w:szCs w:val="22"/>
              </w:rPr>
            </w:pPr>
            <w:r w:rsidRPr="00BB2BD7">
              <w:rPr>
                <w:rFonts w:ascii="Arial" w:hAnsi="Arial"/>
                <w:b/>
                <w:sz w:val="22"/>
                <w:szCs w:val="22"/>
              </w:rPr>
              <w:t>Pharmacy Name</w:t>
            </w:r>
          </w:p>
        </w:tc>
        <w:tc>
          <w:tcPr>
            <w:tcW w:w="4853" w:type="dxa"/>
            <w:gridSpan w:val="2"/>
          </w:tcPr>
          <w:p w14:paraId="1F0973C0" w14:textId="77777777" w:rsidR="00E95D1C" w:rsidRPr="00BB2BD7" w:rsidRDefault="00E95D1C" w:rsidP="004D105E">
            <w:pPr>
              <w:rPr>
                <w:rFonts w:ascii="Arial" w:hAnsi="Arial"/>
                <w:sz w:val="22"/>
                <w:szCs w:val="22"/>
              </w:rPr>
            </w:pPr>
          </w:p>
        </w:tc>
        <w:tc>
          <w:tcPr>
            <w:tcW w:w="1686" w:type="dxa"/>
          </w:tcPr>
          <w:p w14:paraId="48AA4758" w14:textId="77777777" w:rsidR="00E95D1C" w:rsidRPr="00BB2BD7" w:rsidRDefault="00E95D1C" w:rsidP="004D105E">
            <w:pPr>
              <w:rPr>
                <w:rFonts w:ascii="Arial" w:hAnsi="Arial"/>
                <w:b/>
                <w:sz w:val="22"/>
                <w:szCs w:val="22"/>
              </w:rPr>
            </w:pPr>
            <w:r w:rsidRPr="00BB2BD7">
              <w:rPr>
                <w:rFonts w:ascii="Arial" w:hAnsi="Arial"/>
                <w:b/>
                <w:sz w:val="22"/>
                <w:szCs w:val="22"/>
              </w:rPr>
              <w:t>SOP version</w:t>
            </w:r>
          </w:p>
        </w:tc>
        <w:tc>
          <w:tcPr>
            <w:tcW w:w="1112" w:type="dxa"/>
          </w:tcPr>
          <w:p w14:paraId="477FD675" w14:textId="77777777" w:rsidR="00E95D1C" w:rsidRPr="00BB2BD7" w:rsidRDefault="00E95D1C" w:rsidP="004D105E">
            <w:pPr>
              <w:rPr>
                <w:rFonts w:ascii="Arial" w:hAnsi="Arial"/>
                <w:sz w:val="22"/>
                <w:szCs w:val="22"/>
              </w:rPr>
            </w:pPr>
          </w:p>
        </w:tc>
      </w:tr>
      <w:tr w:rsidR="00E95D1C" w:rsidRPr="00BB2BD7" w14:paraId="1B8D63BB" w14:textId="77777777" w:rsidTr="003F5318">
        <w:tc>
          <w:tcPr>
            <w:tcW w:w="3543" w:type="dxa"/>
            <w:gridSpan w:val="2"/>
          </w:tcPr>
          <w:p w14:paraId="24CD8FFF" w14:textId="77777777" w:rsidR="00E95D1C" w:rsidRPr="00BB2BD7" w:rsidRDefault="00E95D1C" w:rsidP="004D105E">
            <w:pPr>
              <w:rPr>
                <w:rFonts w:ascii="Arial" w:hAnsi="Arial"/>
                <w:b/>
                <w:sz w:val="22"/>
                <w:szCs w:val="22"/>
              </w:rPr>
            </w:pPr>
            <w:r w:rsidRPr="00BB2BD7">
              <w:rPr>
                <w:rFonts w:ascii="Arial" w:hAnsi="Arial"/>
                <w:b/>
                <w:sz w:val="22"/>
                <w:szCs w:val="22"/>
              </w:rPr>
              <w:t>Date of SOP preparation:</w:t>
            </w:r>
          </w:p>
        </w:tc>
        <w:tc>
          <w:tcPr>
            <w:tcW w:w="2220" w:type="dxa"/>
          </w:tcPr>
          <w:p w14:paraId="7D1A001A" w14:textId="77777777" w:rsidR="00E95D1C" w:rsidRPr="00BB2BD7" w:rsidRDefault="00E95D1C" w:rsidP="004D105E">
            <w:pPr>
              <w:rPr>
                <w:rFonts w:ascii="Arial" w:hAnsi="Arial"/>
                <w:sz w:val="22"/>
                <w:szCs w:val="22"/>
              </w:rPr>
            </w:pPr>
          </w:p>
        </w:tc>
        <w:tc>
          <w:tcPr>
            <w:tcW w:w="4319" w:type="dxa"/>
            <w:gridSpan w:val="2"/>
          </w:tcPr>
          <w:p w14:paraId="6982D6CF" w14:textId="77777777" w:rsidR="00E95D1C" w:rsidRPr="00BB2BD7" w:rsidRDefault="00E95D1C" w:rsidP="004D105E">
            <w:pPr>
              <w:rPr>
                <w:rFonts w:ascii="Arial" w:hAnsi="Arial"/>
                <w:b/>
                <w:sz w:val="22"/>
                <w:szCs w:val="22"/>
              </w:rPr>
            </w:pPr>
            <w:r w:rsidRPr="00BB2BD7">
              <w:rPr>
                <w:rFonts w:ascii="Arial" w:hAnsi="Arial"/>
                <w:b/>
                <w:sz w:val="22"/>
                <w:szCs w:val="22"/>
              </w:rPr>
              <w:t>Date SOP effective from:</w:t>
            </w:r>
          </w:p>
        </w:tc>
        <w:tc>
          <w:tcPr>
            <w:tcW w:w="1112" w:type="dxa"/>
          </w:tcPr>
          <w:p w14:paraId="5B77BCA8" w14:textId="77777777" w:rsidR="00E95D1C" w:rsidRPr="00BB2BD7" w:rsidRDefault="00E95D1C" w:rsidP="004D105E">
            <w:pPr>
              <w:rPr>
                <w:rFonts w:ascii="Arial" w:hAnsi="Arial"/>
                <w:sz w:val="22"/>
                <w:szCs w:val="22"/>
              </w:rPr>
            </w:pPr>
          </w:p>
        </w:tc>
      </w:tr>
      <w:tr w:rsidR="00E95D1C" w:rsidRPr="00BB2BD7" w14:paraId="3C803F67" w14:textId="77777777" w:rsidTr="003F5318">
        <w:tc>
          <w:tcPr>
            <w:tcW w:w="3543" w:type="dxa"/>
            <w:gridSpan w:val="2"/>
          </w:tcPr>
          <w:p w14:paraId="1A37C996" w14:textId="77777777" w:rsidR="00E95D1C" w:rsidRPr="00BB2BD7" w:rsidRDefault="00E95D1C" w:rsidP="004D105E">
            <w:pPr>
              <w:rPr>
                <w:rFonts w:ascii="Arial" w:hAnsi="Arial"/>
                <w:b/>
                <w:sz w:val="22"/>
                <w:szCs w:val="22"/>
              </w:rPr>
            </w:pPr>
            <w:r w:rsidRPr="00BB2BD7">
              <w:rPr>
                <w:rFonts w:ascii="Arial" w:hAnsi="Arial"/>
                <w:b/>
                <w:sz w:val="22"/>
                <w:szCs w:val="22"/>
              </w:rPr>
              <w:t>SOP prepared by:</w:t>
            </w:r>
          </w:p>
        </w:tc>
        <w:tc>
          <w:tcPr>
            <w:tcW w:w="2220" w:type="dxa"/>
          </w:tcPr>
          <w:p w14:paraId="693D525C" w14:textId="77777777" w:rsidR="00E95D1C" w:rsidRPr="00BB2BD7" w:rsidRDefault="00E95D1C" w:rsidP="004D105E">
            <w:pPr>
              <w:rPr>
                <w:rFonts w:ascii="Arial" w:hAnsi="Arial"/>
                <w:sz w:val="22"/>
                <w:szCs w:val="22"/>
              </w:rPr>
            </w:pPr>
          </w:p>
        </w:tc>
        <w:tc>
          <w:tcPr>
            <w:tcW w:w="4319" w:type="dxa"/>
            <w:gridSpan w:val="2"/>
          </w:tcPr>
          <w:p w14:paraId="708D8F93" w14:textId="77777777" w:rsidR="00E95D1C" w:rsidRPr="00BB2BD7" w:rsidRDefault="00E95D1C" w:rsidP="004D105E">
            <w:pPr>
              <w:rPr>
                <w:rFonts w:ascii="Arial" w:hAnsi="Arial"/>
                <w:b/>
                <w:sz w:val="22"/>
                <w:szCs w:val="22"/>
              </w:rPr>
            </w:pPr>
            <w:r w:rsidRPr="00BB2BD7">
              <w:rPr>
                <w:rFonts w:ascii="Arial" w:hAnsi="Arial"/>
                <w:b/>
                <w:sz w:val="22"/>
                <w:szCs w:val="22"/>
              </w:rPr>
              <w:t>Review date for SOP:</w:t>
            </w:r>
          </w:p>
        </w:tc>
        <w:tc>
          <w:tcPr>
            <w:tcW w:w="1112" w:type="dxa"/>
          </w:tcPr>
          <w:p w14:paraId="01C9F9C9" w14:textId="77777777" w:rsidR="00E95D1C" w:rsidRPr="00BB2BD7" w:rsidRDefault="00E95D1C" w:rsidP="004D105E">
            <w:pPr>
              <w:rPr>
                <w:rFonts w:ascii="Arial" w:hAnsi="Arial"/>
                <w:sz w:val="22"/>
                <w:szCs w:val="22"/>
              </w:rPr>
            </w:pPr>
          </w:p>
        </w:tc>
      </w:tr>
      <w:tr w:rsidR="003F5318" w:rsidRPr="00BB2BD7" w14:paraId="75BA73B0" w14:textId="77777777" w:rsidTr="003F5318">
        <w:tc>
          <w:tcPr>
            <w:tcW w:w="728" w:type="dxa"/>
          </w:tcPr>
          <w:p w14:paraId="65744D33" w14:textId="2B9AE968" w:rsidR="003F5318" w:rsidRPr="00BB2BD7" w:rsidRDefault="003F5318" w:rsidP="004D105E">
            <w:pPr>
              <w:rPr>
                <w:rFonts w:ascii="Arial" w:hAnsi="Arial"/>
                <w:sz w:val="20"/>
                <w:szCs w:val="20"/>
              </w:rPr>
            </w:pPr>
            <w:r>
              <w:rPr>
                <w:rFonts w:ascii="Arial" w:hAnsi="Arial"/>
                <w:sz w:val="20"/>
                <w:szCs w:val="20"/>
              </w:rPr>
              <w:t>2 (</w:t>
            </w:r>
            <w:proofErr w:type="spellStart"/>
            <w:r>
              <w:rPr>
                <w:rFonts w:ascii="Arial" w:hAnsi="Arial"/>
                <w:sz w:val="20"/>
                <w:szCs w:val="20"/>
              </w:rPr>
              <w:t>cont</w:t>
            </w:r>
            <w:proofErr w:type="spellEnd"/>
            <w:r>
              <w:rPr>
                <w:rFonts w:ascii="Arial" w:hAnsi="Arial"/>
                <w:sz w:val="20"/>
                <w:szCs w:val="20"/>
              </w:rPr>
              <w:t>)</w:t>
            </w:r>
          </w:p>
        </w:tc>
        <w:tc>
          <w:tcPr>
            <w:tcW w:w="10466" w:type="dxa"/>
            <w:gridSpan w:val="5"/>
          </w:tcPr>
          <w:p w14:paraId="067AC3E0"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Negotiate quit date and discuss planning for it</w:t>
            </w:r>
          </w:p>
          <w:p w14:paraId="2EB90C6B"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Provide literature e.g. Stop Smoking Start Living; Today Tomorrow</w:t>
            </w:r>
          </w:p>
          <w:p w14:paraId="0C1E2683"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Discuss behaviour change/breaking the habit</w:t>
            </w:r>
          </w:p>
          <w:p w14:paraId="7BB8278F"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Discuss withdrawal symptoms and coping mechanisms</w:t>
            </w:r>
          </w:p>
          <w:p w14:paraId="62D28D16"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Discuss all medication options approved by NICE, in line with local guidelines and patient</w:t>
            </w:r>
          </w:p>
          <w:p w14:paraId="427B73D0" w14:textId="77777777" w:rsidR="003F5318" w:rsidRPr="003F5318" w:rsidRDefault="003F5318" w:rsidP="003F5318">
            <w:pPr>
              <w:numPr>
                <w:ilvl w:val="0"/>
                <w:numId w:val="25"/>
              </w:numPr>
              <w:rPr>
                <w:rFonts w:ascii="Arial" w:hAnsi="Arial"/>
                <w:sz w:val="22"/>
                <w:szCs w:val="22"/>
              </w:rPr>
            </w:pPr>
            <w:proofErr w:type="gramStart"/>
            <w:r w:rsidRPr="003F5318">
              <w:rPr>
                <w:rFonts w:ascii="Arial" w:hAnsi="Arial"/>
                <w:sz w:val="22"/>
                <w:szCs w:val="22"/>
              </w:rPr>
              <w:t>choice</w:t>
            </w:r>
            <w:proofErr w:type="gramEnd"/>
            <w:r w:rsidRPr="003F5318">
              <w:rPr>
                <w:rFonts w:ascii="Arial" w:hAnsi="Arial"/>
                <w:sz w:val="22"/>
                <w:szCs w:val="22"/>
              </w:rPr>
              <w:t>, facilitate supply, explain use, and complete clinical record. Complete additional</w:t>
            </w:r>
          </w:p>
          <w:p w14:paraId="1516BED8"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Smoking in Pregnancy forms if required</w:t>
            </w:r>
          </w:p>
          <w:p w14:paraId="24A41480"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Make next appointment or follow up any DNAs</w:t>
            </w:r>
          </w:p>
          <w:p w14:paraId="45B33689"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 xml:space="preserve">Complete all mandatory fields on </w:t>
            </w:r>
            <w:proofErr w:type="spellStart"/>
            <w:r w:rsidRPr="003F5318">
              <w:rPr>
                <w:rFonts w:ascii="Arial" w:hAnsi="Arial"/>
                <w:sz w:val="22"/>
                <w:szCs w:val="22"/>
              </w:rPr>
              <w:t>QuitManager</w:t>
            </w:r>
            <w:proofErr w:type="spellEnd"/>
          </w:p>
          <w:p w14:paraId="073FFCEA" w14:textId="77777777" w:rsidR="003F5318" w:rsidRPr="003F5318" w:rsidRDefault="003F5318" w:rsidP="003F5318">
            <w:pPr>
              <w:numPr>
                <w:ilvl w:val="0"/>
                <w:numId w:val="25"/>
              </w:numPr>
              <w:rPr>
                <w:rFonts w:ascii="Arial" w:hAnsi="Arial"/>
                <w:sz w:val="22"/>
                <w:szCs w:val="22"/>
              </w:rPr>
            </w:pPr>
            <w:r w:rsidRPr="003F5318">
              <w:rPr>
                <w:rFonts w:ascii="Arial" w:hAnsi="Arial"/>
                <w:sz w:val="22"/>
                <w:szCs w:val="22"/>
              </w:rPr>
              <w:t>Provide service user evaluation form (and pre-paid envelope).</w:t>
            </w:r>
          </w:p>
          <w:p w14:paraId="3CD65A00" w14:textId="77777777" w:rsidR="003F5318" w:rsidRPr="003F5318" w:rsidRDefault="003F5318" w:rsidP="003F5318">
            <w:pPr>
              <w:rPr>
                <w:rFonts w:ascii="Arial" w:hAnsi="Arial"/>
                <w:sz w:val="22"/>
                <w:szCs w:val="22"/>
              </w:rPr>
            </w:pPr>
          </w:p>
          <w:p w14:paraId="0647864C" w14:textId="77777777" w:rsidR="003F5318" w:rsidRPr="003F5318" w:rsidRDefault="003F5318" w:rsidP="003F5318">
            <w:pPr>
              <w:rPr>
                <w:rStyle w:val="Hyperlink"/>
                <w:rFonts w:ascii="Arial" w:hAnsi="Arial"/>
                <w:sz w:val="22"/>
                <w:szCs w:val="22"/>
              </w:rPr>
            </w:pPr>
            <w:proofErr w:type="spellStart"/>
            <w:r w:rsidRPr="003F5318">
              <w:rPr>
                <w:rFonts w:ascii="Arial" w:hAnsi="Arial"/>
                <w:sz w:val="22"/>
                <w:szCs w:val="22"/>
              </w:rPr>
              <w:t>Varenicline</w:t>
            </w:r>
            <w:proofErr w:type="spellEnd"/>
            <w:r w:rsidRPr="003F5318">
              <w:rPr>
                <w:rFonts w:ascii="Arial" w:hAnsi="Arial"/>
                <w:sz w:val="22"/>
                <w:szCs w:val="22"/>
              </w:rPr>
              <w:t xml:space="preserve"> option: Accredited pharmacist prescribes, recommends or supplies </w:t>
            </w:r>
            <w:proofErr w:type="spellStart"/>
            <w:r w:rsidRPr="003F5318">
              <w:rPr>
                <w:rFonts w:ascii="Arial" w:hAnsi="Arial"/>
                <w:sz w:val="22"/>
                <w:szCs w:val="22"/>
              </w:rPr>
              <w:t>varenicline</w:t>
            </w:r>
            <w:proofErr w:type="spellEnd"/>
            <w:r w:rsidRPr="003F5318">
              <w:rPr>
                <w:rFonts w:ascii="Arial" w:hAnsi="Arial"/>
                <w:sz w:val="22"/>
                <w:szCs w:val="22"/>
              </w:rPr>
              <w:t xml:space="preserve"> within NICE guidance and Hertfordshire guidance: Stop smoking medication and the </w:t>
            </w:r>
            <w:r w:rsidRPr="003F5318">
              <w:rPr>
                <w:rFonts w:ascii="Arial" w:hAnsi="Arial"/>
                <w:sz w:val="22"/>
                <w:szCs w:val="22"/>
              </w:rPr>
              <w:fldChar w:fldCharType="begin"/>
            </w:r>
            <w:r w:rsidRPr="003F5318">
              <w:rPr>
                <w:rFonts w:ascii="Arial" w:hAnsi="Arial"/>
                <w:sz w:val="22"/>
                <w:szCs w:val="22"/>
              </w:rPr>
              <w:instrText xml:space="preserve"> HYPERLINK "http://www.medicines.org.uk/emc/medicine/19045" </w:instrText>
            </w:r>
            <w:r w:rsidRPr="003F5318">
              <w:rPr>
                <w:rFonts w:ascii="Arial" w:hAnsi="Arial"/>
                <w:sz w:val="22"/>
                <w:szCs w:val="22"/>
              </w:rPr>
              <w:fldChar w:fldCharType="separate"/>
            </w:r>
            <w:r w:rsidRPr="003F5318">
              <w:rPr>
                <w:rStyle w:val="Hyperlink"/>
                <w:rFonts w:ascii="Arial" w:hAnsi="Arial"/>
                <w:sz w:val="22"/>
                <w:szCs w:val="22"/>
              </w:rPr>
              <w:t>Summary of Product</w:t>
            </w:r>
          </w:p>
          <w:p w14:paraId="00F7D25A" w14:textId="77777777" w:rsidR="003F5318" w:rsidRPr="003F5318" w:rsidRDefault="003F5318" w:rsidP="003F5318">
            <w:pPr>
              <w:rPr>
                <w:rFonts w:ascii="Arial" w:hAnsi="Arial"/>
                <w:sz w:val="22"/>
                <w:szCs w:val="22"/>
              </w:rPr>
            </w:pPr>
            <w:r w:rsidRPr="003F5318">
              <w:rPr>
                <w:rStyle w:val="Hyperlink"/>
                <w:rFonts w:ascii="Arial" w:hAnsi="Arial"/>
                <w:sz w:val="22"/>
                <w:szCs w:val="22"/>
              </w:rPr>
              <w:t>Characteristics</w:t>
            </w:r>
            <w:r w:rsidRPr="003F5318">
              <w:rPr>
                <w:rFonts w:ascii="Arial" w:hAnsi="Arial"/>
                <w:sz w:val="22"/>
                <w:szCs w:val="22"/>
              </w:rPr>
              <w:fldChar w:fldCharType="end"/>
            </w:r>
            <w:r w:rsidRPr="003F5318">
              <w:rPr>
                <w:rFonts w:ascii="Arial" w:hAnsi="Arial"/>
                <w:sz w:val="22"/>
                <w:szCs w:val="22"/>
              </w:rPr>
              <w:t xml:space="preserve"> as according to the </w:t>
            </w:r>
            <w:hyperlink r:id="rId9" w:history="1">
              <w:r w:rsidRPr="003F5318">
                <w:rPr>
                  <w:rStyle w:val="Hyperlink"/>
                  <w:rFonts w:ascii="Arial" w:hAnsi="Arial"/>
                  <w:sz w:val="22"/>
                  <w:szCs w:val="22"/>
                </w:rPr>
                <w:t>PGD</w:t>
              </w:r>
            </w:hyperlink>
            <w:r w:rsidRPr="003F5318">
              <w:rPr>
                <w:rFonts w:ascii="Arial" w:hAnsi="Arial"/>
                <w:sz w:val="22"/>
                <w:szCs w:val="22"/>
              </w:rPr>
              <w:t xml:space="preserve">. </w:t>
            </w:r>
            <w:r w:rsidR="006B385F" w:rsidRPr="003F5318">
              <w:rPr>
                <w:rFonts w:ascii="Arial" w:hAnsi="Arial"/>
                <w:sz w:val="22"/>
                <w:szCs w:val="22"/>
              </w:rPr>
              <w:t>An agreed quit date should be recorded, preferably 7-14</w:t>
            </w:r>
            <w:r w:rsidRPr="003F5318">
              <w:rPr>
                <w:rFonts w:ascii="Arial" w:hAnsi="Arial"/>
                <w:sz w:val="22"/>
                <w:szCs w:val="22"/>
              </w:rPr>
              <w:t xml:space="preserve"> </w:t>
            </w:r>
            <w:r w:rsidR="006B385F" w:rsidRPr="003F5318">
              <w:rPr>
                <w:rFonts w:ascii="Arial" w:hAnsi="Arial"/>
                <w:sz w:val="22"/>
                <w:szCs w:val="22"/>
              </w:rPr>
              <w:t>days after initiation of treatment.</w:t>
            </w:r>
          </w:p>
          <w:p w14:paraId="3E4D77C6" w14:textId="77777777" w:rsidR="003F5318" w:rsidRPr="003F5318" w:rsidRDefault="003F5318" w:rsidP="003F5318">
            <w:pPr>
              <w:rPr>
                <w:rFonts w:ascii="Arial" w:hAnsi="Arial"/>
                <w:sz w:val="22"/>
                <w:szCs w:val="22"/>
              </w:rPr>
            </w:pPr>
            <w:r w:rsidRPr="003F5318">
              <w:rPr>
                <w:rFonts w:ascii="Arial" w:hAnsi="Arial"/>
                <w:sz w:val="22"/>
                <w:szCs w:val="22"/>
              </w:rPr>
              <w:t xml:space="preserve"> </w:t>
            </w:r>
          </w:p>
          <w:p w14:paraId="3CF8BFCC" w14:textId="77777777" w:rsidR="003F5318" w:rsidRPr="003F5318" w:rsidRDefault="003F5318" w:rsidP="003F5318">
            <w:pPr>
              <w:rPr>
                <w:rFonts w:ascii="Arial" w:hAnsi="Arial"/>
                <w:sz w:val="22"/>
                <w:szCs w:val="22"/>
              </w:rPr>
            </w:pPr>
            <w:r w:rsidRPr="003F5318">
              <w:rPr>
                <w:rFonts w:ascii="Arial" w:hAnsi="Arial"/>
                <w:sz w:val="22"/>
                <w:szCs w:val="22"/>
              </w:rPr>
              <w:t xml:space="preserve">The patient’s GP must be informed of the supply of </w:t>
            </w:r>
            <w:proofErr w:type="spellStart"/>
            <w:r w:rsidRPr="003F5318">
              <w:rPr>
                <w:rFonts w:ascii="Arial" w:hAnsi="Arial"/>
                <w:sz w:val="22"/>
                <w:szCs w:val="22"/>
              </w:rPr>
              <w:t>varenicline</w:t>
            </w:r>
            <w:proofErr w:type="spellEnd"/>
            <w:r w:rsidRPr="003F5318">
              <w:rPr>
                <w:rFonts w:ascii="Arial" w:hAnsi="Arial"/>
                <w:sz w:val="22"/>
                <w:szCs w:val="22"/>
              </w:rPr>
              <w:t xml:space="preserve"> to any of their patients using the </w:t>
            </w:r>
            <w:hyperlink r:id="rId10" w:history="1">
              <w:r w:rsidRPr="003F5318">
                <w:rPr>
                  <w:rStyle w:val="Hyperlink"/>
                  <w:rFonts w:ascii="Arial" w:hAnsi="Arial"/>
                  <w:sz w:val="22"/>
                  <w:szCs w:val="22"/>
                </w:rPr>
                <w:t>template letter</w:t>
              </w:r>
            </w:hyperlink>
            <w:r w:rsidRPr="003F5318">
              <w:rPr>
                <w:rFonts w:ascii="Arial" w:hAnsi="Arial"/>
                <w:sz w:val="22"/>
                <w:szCs w:val="22"/>
              </w:rPr>
              <w:t xml:space="preserve">. This is to manage any risk to receiving the medicine if there are clinical concerns which do not come to light during the patient assessment. This can be sent by secure email or fax and must occur at the time of initial supply. </w:t>
            </w:r>
          </w:p>
          <w:p w14:paraId="2DE2C463" w14:textId="77777777" w:rsidR="003F5318" w:rsidRPr="003F5318" w:rsidRDefault="003F5318" w:rsidP="003F5318">
            <w:pPr>
              <w:rPr>
                <w:rFonts w:ascii="Arial" w:hAnsi="Arial"/>
                <w:sz w:val="22"/>
                <w:szCs w:val="22"/>
              </w:rPr>
            </w:pPr>
            <w:r w:rsidRPr="003F5318">
              <w:rPr>
                <w:rFonts w:ascii="Arial" w:hAnsi="Arial"/>
                <w:sz w:val="22"/>
                <w:szCs w:val="22"/>
              </w:rPr>
              <w:t xml:space="preserve"> </w:t>
            </w:r>
          </w:p>
          <w:p w14:paraId="39C28022" w14:textId="1DBAE4CE" w:rsidR="003F5318" w:rsidRPr="003F5318" w:rsidRDefault="003F5318" w:rsidP="003F5318">
            <w:pPr>
              <w:rPr>
                <w:rFonts w:ascii="Arial" w:hAnsi="Arial"/>
                <w:sz w:val="22"/>
                <w:szCs w:val="22"/>
              </w:rPr>
            </w:pPr>
            <w:r w:rsidRPr="003F5318">
              <w:rPr>
                <w:rFonts w:ascii="Arial" w:hAnsi="Arial"/>
                <w:sz w:val="22"/>
                <w:szCs w:val="22"/>
              </w:rPr>
              <w:t xml:space="preserve">Please note that the information for the first appointment can be given by a stop smoking advisor and does not have to be undertaken by the accredited pharmacist prescribing </w:t>
            </w:r>
            <w:proofErr w:type="spellStart"/>
            <w:r w:rsidRPr="003F5318">
              <w:rPr>
                <w:rFonts w:ascii="Arial" w:hAnsi="Arial"/>
                <w:sz w:val="22"/>
                <w:szCs w:val="22"/>
              </w:rPr>
              <w:t>Varenicline</w:t>
            </w:r>
            <w:proofErr w:type="spellEnd"/>
            <w:r w:rsidRPr="003F5318">
              <w:rPr>
                <w:rFonts w:ascii="Arial" w:hAnsi="Arial"/>
                <w:sz w:val="22"/>
                <w:szCs w:val="22"/>
              </w:rPr>
              <w:t>.</w:t>
            </w:r>
          </w:p>
        </w:tc>
      </w:tr>
      <w:tr w:rsidR="003F5318" w:rsidRPr="00BB2BD7" w14:paraId="098CDBCC" w14:textId="77777777" w:rsidTr="003F5318">
        <w:tc>
          <w:tcPr>
            <w:tcW w:w="728" w:type="dxa"/>
          </w:tcPr>
          <w:p w14:paraId="6FF652BD" w14:textId="36ACE7C4" w:rsidR="003F5318" w:rsidRPr="00BB2BD7" w:rsidRDefault="003F5318" w:rsidP="003F5318">
            <w:pPr>
              <w:rPr>
                <w:rFonts w:ascii="Arial" w:hAnsi="Arial"/>
                <w:sz w:val="20"/>
                <w:szCs w:val="20"/>
              </w:rPr>
            </w:pPr>
            <w:r>
              <w:rPr>
                <w:rFonts w:ascii="Arial" w:hAnsi="Arial"/>
                <w:sz w:val="22"/>
                <w:szCs w:val="22"/>
              </w:rPr>
              <w:t>3</w:t>
            </w:r>
          </w:p>
        </w:tc>
        <w:tc>
          <w:tcPr>
            <w:tcW w:w="10466" w:type="dxa"/>
            <w:gridSpan w:val="5"/>
          </w:tcPr>
          <w:p w14:paraId="224429F7" w14:textId="77777777" w:rsidR="003F5318" w:rsidRPr="00D35F7A" w:rsidRDefault="003F5318" w:rsidP="003F5318">
            <w:pPr>
              <w:rPr>
                <w:rFonts w:ascii="Arial" w:hAnsi="Arial"/>
                <w:sz w:val="22"/>
                <w:szCs w:val="22"/>
              </w:rPr>
            </w:pPr>
            <w:r w:rsidRPr="00D35F7A">
              <w:rPr>
                <w:rFonts w:ascii="Arial" w:hAnsi="Arial"/>
                <w:b/>
                <w:sz w:val="22"/>
                <w:szCs w:val="22"/>
              </w:rPr>
              <w:t>Appointments 2, 3 and 4</w:t>
            </w:r>
            <w:r>
              <w:rPr>
                <w:rFonts w:ascii="Arial" w:hAnsi="Arial"/>
                <w:sz w:val="22"/>
                <w:szCs w:val="22"/>
              </w:rPr>
              <w:t xml:space="preserve"> (</w:t>
            </w:r>
            <w:r w:rsidRPr="00D35F7A">
              <w:rPr>
                <w:rFonts w:ascii="Arial" w:hAnsi="Arial"/>
                <w:sz w:val="22"/>
                <w:szCs w:val="22"/>
              </w:rPr>
              <w:t>10-15 minutes on or shortly after quit date and each and every following week</w:t>
            </w:r>
            <w:r>
              <w:rPr>
                <w:rFonts w:ascii="Arial" w:hAnsi="Arial"/>
                <w:sz w:val="22"/>
                <w:szCs w:val="22"/>
              </w:rPr>
              <w:t>)</w:t>
            </w:r>
          </w:p>
          <w:p w14:paraId="2C0AB875"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Assess progress so far - congratulate any constructive behaviour change/efforts</w:t>
            </w:r>
          </w:p>
          <w:p w14:paraId="32531E2C"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Confirm quit date/set quit date</w:t>
            </w:r>
          </w:p>
          <w:p w14:paraId="39B94445"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Take CO reading to use as a motivator</w:t>
            </w:r>
          </w:p>
          <w:p w14:paraId="137CCD15"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Monitor use of medication – ensure adequate use and monitor side effects (adjust dose or change medication if severe adverse</w:t>
            </w:r>
          </w:p>
          <w:p w14:paraId="35D45314"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effects)</w:t>
            </w:r>
          </w:p>
          <w:p w14:paraId="2D8405CD"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Ensure adequate medication until next appointment</w:t>
            </w:r>
          </w:p>
          <w:p w14:paraId="3CDF53A7"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 xml:space="preserve">Complete clinic notes in </w:t>
            </w:r>
            <w:proofErr w:type="spellStart"/>
            <w:r w:rsidRPr="00D35F7A">
              <w:rPr>
                <w:rFonts w:ascii="Arial" w:hAnsi="Arial"/>
                <w:sz w:val="22"/>
                <w:szCs w:val="22"/>
              </w:rPr>
              <w:t>QuitManager</w:t>
            </w:r>
            <w:proofErr w:type="spellEnd"/>
          </w:p>
          <w:p w14:paraId="5E9900C3"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Discuss any lapses or barriers to quitting/difficulties to be overcome</w:t>
            </w:r>
          </w:p>
          <w:p w14:paraId="2EBF238A"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Discuss withdrawal symptoms and coping mechanisms</w:t>
            </w:r>
          </w:p>
          <w:p w14:paraId="75C331C8" w14:textId="77777777" w:rsidR="003F5318" w:rsidRPr="00D35F7A" w:rsidRDefault="003F5318" w:rsidP="003F5318">
            <w:pPr>
              <w:pStyle w:val="ListParagraph"/>
              <w:numPr>
                <w:ilvl w:val="0"/>
                <w:numId w:val="30"/>
              </w:numPr>
              <w:rPr>
                <w:rFonts w:ascii="Arial" w:hAnsi="Arial"/>
                <w:sz w:val="22"/>
                <w:szCs w:val="22"/>
              </w:rPr>
            </w:pPr>
            <w:r w:rsidRPr="00D35F7A">
              <w:rPr>
                <w:rFonts w:ascii="Arial" w:hAnsi="Arial"/>
                <w:sz w:val="22"/>
                <w:szCs w:val="22"/>
              </w:rPr>
              <w:t>Build on repertoire of coping strategies and identify and help patient overcome any perceived obstacles</w:t>
            </w:r>
          </w:p>
          <w:p w14:paraId="57D10A81" w14:textId="36F0D508" w:rsidR="003F5318" w:rsidRPr="003F5318" w:rsidRDefault="003F5318" w:rsidP="003F5318">
            <w:pPr>
              <w:pStyle w:val="ListParagraph"/>
              <w:numPr>
                <w:ilvl w:val="0"/>
                <w:numId w:val="30"/>
              </w:numPr>
              <w:rPr>
                <w:rFonts w:ascii="Arial" w:hAnsi="Arial"/>
                <w:sz w:val="22"/>
                <w:szCs w:val="22"/>
              </w:rPr>
            </w:pPr>
            <w:r w:rsidRPr="00D35F7A">
              <w:rPr>
                <w:rFonts w:ascii="Arial" w:hAnsi="Arial"/>
                <w:sz w:val="22"/>
                <w:szCs w:val="22"/>
              </w:rPr>
              <w:t>Follow up service users who ha</w:t>
            </w:r>
            <w:r>
              <w:rPr>
                <w:rFonts w:ascii="Arial" w:hAnsi="Arial"/>
                <w:sz w:val="22"/>
                <w:szCs w:val="22"/>
              </w:rPr>
              <w:t>ve failed to attend appointments.</w:t>
            </w:r>
          </w:p>
        </w:tc>
      </w:tr>
      <w:tr w:rsidR="003F5318" w:rsidRPr="00BB2BD7" w14:paraId="59661BF3" w14:textId="77777777" w:rsidTr="003F5318">
        <w:tc>
          <w:tcPr>
            <w:tcW w:w="728" w:type="dxa"/>
          </w:tcPr>
          <w:p w14:paraId="7C8373D9" w14:textId="24F59634" w:rsidR="003F5318" w:rsidRPr="00BB2BD7" w:rsidRDefault="003F5318" w:rsidP="003F5318">
            <w:pPr>
              <w:rPr>
                <w:rFonts w:ascii="Arial" w:hAnsi="Arial"/>
                <w:sz w:val="20"/>
                <w:szCs w:val="20"/>
              </w:rPr>
            </w:pPr>
            <w:r w:rsidRPr="00BB2BD7">
              <w:rPr>
                <w:rFonts w:ascii="Arial" w:hAnsi="Arial"/>
                <w:sz w:val="20"/>
                <w:szCs w:val="20"/>
              </w:rPr>
              <w:t>4</w:t>
            </w:r>
          </w:p>
        </w:tc>
        <w:tc>
          <w:tcPr>
            <w:tcW w:w="10466" w:type="dxa"/>
            <w:gridSpan w:val="5"/>
          </w:tcPr>
          <w:p w14:paraId="78C26E8F" w14:textId="108359AC" w:rsidR="003F5318" w:rsidRPr="00D35F7A" w:rsidRDefault="003F5318" w:rsidP="003F5318">
            <w:pPr>
              <w:rPr>
                <w:rFonts w:ascii="Arial" w:hAnsi="Arial"/>
                <w:b/>
                <w:sz w:val="22"/>
                <w:szCs w:val="22"/>
              </w:rPr>
            </w:pPr>
            <w:r w:rsidRPr="00D35F7A">
              <w:rPr>
                <w:rFonts w:ascii="Arial" w:hAnsi="Arial"/>
                <w:b/>
                <w:sz w:val="22"/>
                <w:szCs w:val="22"/>
              </w:rPr>
              <w:t>Final Appointment</w:t>
            </w:r>
            <w:r>
              <w:rPr>
                <w:rFonts w:ascii="Arial" w:hAnsi="Arial"/>
                <w:b/>
                <w:sz w:val="22"/>
                <w:szCs w:val="22"/>
              </w:rPr>
              <w:t xml:space="preserve"> </w:t>
            </w:r>
            <w:r w:rsidRPr="00D35F7A">
              <w:rPr>
                <w:rFonts w:ascii="Arial" w:hAnsi="Arial"/>
                <w:sz w:val="22"/>
                <w:szCs w:val="22"/>
              </w:rPr>
              <w:t>(between 25 and 42 days after quit date (NHS reporting deadlines)</w:t>
            </w:r>
          </w:p>
          <w:p w14:paraId="561856E3"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Assess progress so far - quit or not quit at this four-week follow-up appointment</w:t>
            </w:r>
          </w:p>
          <w:p w14:paraId="7ECA34E0"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Congratulate success if appropriate and encourage staying stopped</w:t>
            </w:r>
          </w:p>
          <w:p w14:paraId="2E5B8397"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For those who haven’t quit, suggest returning for another course when ready</w:t>
            </w:r>
          </w:p>
          <w:p w14:paraId="07D40868"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Complete CO reading (must be less than 10ppm to validate non-smoking status)</w:t>
            </w:r>
          </w:p>
          <w:p w14:paraId="6C533B5F"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Service User must be smoke free for the last 14 days of the 28 days since setting a quit date</w:t>
            </w:r>
          </w:p>
          <w:p w14:paraId="50199130"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 xml:space="preserve">Complete Quit Status on </w:t>
            </w:r>
            <w:proofErr w:type="spellStart"/>
            <w:r w:rsidRPr="00D35F7A">
              <w:rPr>
                <w:rFonts w:ascii="Arial" w:hAnsi="Arial"/>
                <w:sz w:val="22"/>
                <w:szCs w:val="22"/>
              </w:rPr>
              <w:t>QuitManager</w:t>
            </w:r>
            <w:proofErr w:type="spellEnd"/>
            <w:r w:rsidRPr="00D35F7A">
              <w:rPr>
                <w:rFonts w:ascii="Arial" w:hAnsi="Arial"/>
                <w:sz w:val="22"/>
                <w:szCs w:val="22"/>
              </w:rPr>
              <w:t xml:space="preserve"> for monitoring and payment purposes</w:t>
            </w:r>
          </w:p>
          <w:p w14:paraId="7FE3CB01" w14:textId="77777777" w:rsidR="003F5318" w:rsidRPr="00D35F7A" w:rsidRDefault="003F5318" w:rsidP="003F5318">
            <w:pPr>
              <w:pStyle w:val="ListParagraph"/>
              <w:numPr>
                <w:ilvl w:val="0"/>
                <w:numId w:val="31"/>
              </w:numPr>
              <w:rPr>
                <w:rFonts w:ascii="Arial" w:hAnsi="Arial"/>
                <w:sz w:val="22"/>
                <w:szCs w:val="22"/>
              </w:rPr>
            </w:pPr>
            <w:r w:rsidRPr="00D35F7A">
              <w:rPr>
                <w:rFonts w:ascii="Arial" w:hAnsi="Arial"/>
                <w:sz w:val="22"/>
                <w:szCs w:val="22"/>
              </w:rPr>
              <w:t>Complete clinical record</w:t>
            </w:r>
          </w:p>
          <w:p w14:paraId="4A1BDB0B" w14:textId="77777777" w:rsidR="003F5318" w:rsidRDefault="003F5318" w:rsidP="003F5318">
            <w:pPr>
              <w:pStyle w:val="ListParagraph"/>
              <w:numPr>
                <w:ilvl w:val="0"/>
                <w:numId w:val="31"/>
              </w:numPr>
              <w:rPr>
                <w:rFonts w:ascii="Arial" w:hAnsi="Arial"/>
                <w:sz w:val="22"/>
                <w:szCs w:val="22"/>
              </w:rPr>
            </w:pPr>
            <w:r w:rsidRPr="00D35F7A">
              <w:rPr>
                <w:rFonts w:ascii="Arial" w:hAnsi="Arial"/>
                <w:sz w:val="22"/>
                <w:szCs w:val="22"/>
              </w:rPr>
              <w:t>Identify risks to staying stopped and ensure patient empowered to access service in future without fear of failure</w:t>
            </w:r>
            <w:r>
              <w:rPr>
                <w:rFonts w:ascii="Arial" w:hAnsi="Arial"/>
                <w:sz w:val="22"/>
                <w:szCs w:val="22"/>
              </w:rPr>
              <w:t xml:space="preserve"> </w:t>
            </w:r>
            <w:r w:rsidRPr="00D35F7A">
              <w:rPr>
                <w:rFonts w:ascii="Arial" w:hAnsi="Arial"/>
                <w:sz w:val="22"/>
                <w:szCs w:val="22"/>
              </w:rPr>
              <w:t>if relapse occurs. Agree additional support for complex Service Users or refer to HSSS</w:t>
            </w:r>
            <w:r>
              <w:rPr>
                <w:rFonts w:ascii="Arial" w:hAnsi="Arial"/>
                <w:sz w:val="22"/>
                <w:szCs w:val="22"/>
              </w:rPr>
              <w:t>.</w:t>
            </w:r>
          </w:p>
          <w:p w14:paraId="5C68F7CA" w14:textId="77777777" w:rsidR="003F5318" w:rsidRDefault="003F5318" w:rsidP="003F5318">
            <w:pPr>
              <w:rPr>
                <w:rFonts w:ascii="Arial" w:hAnsi="Arial"/>
                <w:sz w:val="22"/>
                <w:szCs w:val="22"/>
              </w:rPr>
            </w:pPr>
          </w:p>
          <w:p w14:paraId="5A005267" w14:textId="515E1BC3" w:rsidR="007B157C" w:rsidRPr="00D35F7A" w:rsidRDefault="007B157C" w:rsidP="003F5318">
            <w:pPr>
              <w:rPr>
                <w:rFonts w:ascii="Arial" w:hAnsi="Arial"/>
                <w:sz w:val="22"/>
                <w:szCs w:val="22"/>
              </w:rPr>
            </w:pPr>
            <w:r w:rsidRPr="00D35F7A">
              <w:rPr>
                <w:rFonts w:ascii="Arial" w:hAnsi="Arial"/>
                <w:sz w:val="22"/>
                <w:szCs w:val="22"/>
              </w:rPr>
              <w:t>E</w:t>
            </w:r>
            <w:r>
              <w:rPr>
                <w:rFonts w:ascii="Arial" w:hAnsi="Arial"/>
                <w:sz w:val="22"/>
                <w:szCs w:val="22"/>
              </w:rPr>
              <w:t xml:space="preserve">nsure sufficient supply of </w:t>
            </w:r>
            <w:proofErr w:type="spellStart"/>
            <w:r w:rsidRPr="00D35F7A">
              <w:rPr>
                <w:rFonts w:ascii="Arial" w:hAnsi="Arial"/>
                <w:sz w:val="22"/>
                <w:szCs w:val="22"/>
              </w:rPr>
              <w:t>varenicline</w:t>
            </w:r>
            <w:proofErr w:type="spellEnd"/>
            <w:r w:rsidRPr="00D35F7A">
              <w:rPr>
                <w:rFonts w:ascii="Arial" w:hAnsi="Arial"/>
                <w:sz w:val="22"/>
                <w:szCs w:val="22"/>
              </w:rPr>
              <w:t xml:space="preserve"> to complete full course of medication</w:t>
            </w:r>
            <w:r>
              <w:rPr>
                <w:rFonts w:ascii="Arial" w:hAnsi="Arial"/>
                <w:sz w:val="22"/>
                <w:szCs w:val="22"/>
              </w:rPr>
              <w:t xml:space="preserve">. </w:t>
            </w:r>
            <w:r w:rsidRPr="003F5318">
              <w:rPr>
                <w:rFonts w:ascii="Arial" w:hAnsi="Arial"/>
                <w:sz w:val="22"/>
                <w:szCs w:val="22"/>
              </w:rPr>
              <w:t>At the end of the treatment</w:t>
            </w:r>
          </w:p>
        </w:tc>
      </w:tr>
      <w:tr w:rsidR="003F5318" w:rsidRPr="00BB2BD7" w14:paraId="6FC25F06" w14:textId="77777777" w:rsidTr="003F5318">
        <w:tc>
          <w:tcPr>
            <w:tcW w:w="3543" w:type="dxa"/>
            <w:gridSpan w:val="2"/>
          </w:tcPr>
          <w:p w14:paraId="26A2B71B" w14:textId="77777777" w:rsidR="003F5318" w:rsidRPr="00BB2BD7" w:rsidRDefault="003F5318" w:rsidP="002D2CEA">
            <w:pPr>
              <w:rPr>
                <w:rFonts w:ascii="Arial" w:hAnsi="Arial"/>
                <w:b/>
                <w:sz w:val="22"/>
                <w:szCs w:val="22"/>
              </w:rPr>
            </w:pPr>
            <w:r w:rsidRPr="00BB2BD7">
              <w:rPr>
                <w:rFonts w:ascii="Arial" w:hAnsi="Arial"/>
                <w:b/>
                <w:sz w:val="22"/>
                <w:szCs w:val="22"/>
              </w:rPr>
              <w:lastRenderedPageBreak/>
              <w:t>Pharmacy Name</w:t>
            </w:r>
          </w:p>
        </w:tc>
        <w:tc>
          <w:tcPr>
            <w:tcW w:w="4853" w:type="dxa"/>
            <w:gridSpan w:val="2"/>
          </w:tcPr>
          <w:p w14:paraId="4B574320" w14:textId="77777777" w:rsidR="003F5318" w:rsidRPr="00BB2BD7" w:rsidRDefault="003F5318" w:rsidP="002D2CEA">
            <w:pPr>
              <w:rPr>
                <w:rFonts w:ascii="Arial" w:hAnsi="Arial"/>
                <w:sz w:val="22"/>
                <w:szCs w:val="22"/>
              </w:rPr>
            </w:pPr>
          </w:p>
        </w:tc>
        <w:tc>
          <w:tcPr>
            <w:tcW w:w="1686" w:type="dxa"/>
          </w:tcPr>
          <w:p w14:paraId="6DB704EE" w14:textId="77777777" w:rsidR="003F5318" w:rsidRPr="00BB2BD7" w:rsidRDefault="003F5318" w:rsidP="002D2CEA">
            <w:pPr>
              <w:rPr>
                <w:rFonts w:ascii="Arial" w:hAnsi="Arial"/>
                <w:b/>
                <w:sz w:val="22"/>
                <w:szCs w:val="22"/>
              </w:rPr>
            </w:pPr>
            <w:r w:rsidRPr="00BB2BD7">
              <w:rPr>
                <w:rFonts w:ascii="Arial" w:hAnsi="Arial"/>
                <w:b/>
                <w:sz w:val="22"/>
                <w:szCs w:val="22"/>
              </w:rPr>
              <w:t>SOP version</w:t>
            </w:r>
          </w:p>
        </w:tc>
        <w:tc>
          <w:tcPr>
            <w:tcW w:w="1112" w:type="dxa"/>
          </w:tcPr>
          <w:p w14:paraId="2145044A" w14:textId="77777777" w:rsidR="003F5318" w:rsidRPr="00BB2BD7" w:rsidRDefault="003F5318" w:rsidP="002D2CEA">
            <w:pPr>
              <w:rPr>
                <w:rFonts w:ascii="Arial" w:hAnsi="Arial"/>
                <w:sz w:val="22"/>
                <w:szCs w:val="22"/>
              </w:rPr>
            </w:pPr>
          </w:p>
        </w:tc>
      </w:tr>
      <w:tr w:rsidR="003F5318" w:rsidRPr="00BB2BD7" w14:paraId="0D45D3CB" w14:textId="77777777" w:rsidTr="003F5318">
        <w:tc>
          <w:tcPr>
            <w:tcW w:w="3543" w:type="dxa"/>
            <w:gridSpan w:val="2"/>
          </w:tcPr>
          <w:p w14:paraId="0EC468B6" w14:textId="77777777" w:rsidR="003F5318" w:rsidRPr="00BB2BD7" w:rsidRDefault="003F5318" w:rsidP="002D2CEA">
            <w:pPr>
              <w:rPr>
                <w:rFonts w:ascii="Arial" w:hAnsi="Arial"/>
                <w:b/>
                <w:sz w:val="22"/>
                <w:szCs w:val="22"/>
              </w:rPr>
            </w:pPr>
            <w:r w:rsidRPr="00BB2BD7">
              <w:rPr>
                <w:rFonts w:ascii="Arial" w:hAnsi="Arial"/>
                <w:b/>
                <w:sz w:val="22"/>
                <w:szCs w:val="22"/>
              </w:rPr>
              <w:t>Date of SOP preparation:</w:t>
            </w:r>
          </w:p>
        </w:tc>
        <w:tc>
          <w:tcPr>
            <w:tcW w:w="2220" w:type="dxa"/>
          </w:tcPr>
          <w:p w14:paraId="1FF1C797" w14:textId="77777777" w:rsidR="003F5318" w:rsidRPr="00BB2BD7" w:rsidRDefault="003F5318" w:rsidP="002D2CEA">
            <w:pPr>
              <w:rPr>
                <w:rFonts w:ascii="Arial" w:hAnsi="Arial"/>
                <w:sz w:val="22"/>
                <w:szCs w:val="22"/>
              </w:rPr>
            </w:pPr>
          </w:p>
        </w:tc>
        <w:tc>
          <w:tcPr>
            <w:tcW w:w="4319" w:type="dxa"/>
            <w:gridSpan w:val="2"/>
          </w:tcPr>
          <w:p w14:paraId="1982AB8C" w14:textId="77777777" w:rsidR="003F5318" w:rsidRPr="00BB2BD7" w:rsidRDefault="003F5318" w:rsidP="002D2CEA">
            <w:pPr>
              <w:rPr>
                <w:rFonts w:ascii="Arial" w:hAnsi="Arial"/>
                <w:b/>
                <w:sz w:val="22"/>
                <w:szCs w:val="22"/>
              </w:rPr>
            </w:pPr>
            <w:r w:rsidRPr="00BB2BD7">
              <w:rPr>
                <w:rFonts w:ascii="Arial" w:hAnsi="Arial"/>
                <w:b/>
                <w:sz w:val="22"/>
                <w:szCs w:val="22"/>
              </w:rPr>
              <w:t>Date SOP effective from:</w:t>
            </w:r>
          </w:p>
        </w:tc>
        <w:tc>
          <w:tcPr>
            <w:tcW w:w="1112" w:type="dxa"/>
          </w:tcPr>
          <w:p w14:paraId="44FBDC78" w14:textId="77777777" w:rsidR="003F5318" w:rsidRPr="00BB2BD7" w:rsidRDefault="003F5318" w:rsidP="002D2CEA">
            <w:pPr>
              <w:rPr>
                <w:rFonts w:ascii="Arial" w:hAnsi="Arial"/>
                <w:sz w:val="22"/>
                <w:szCs w:val="22"/>
              </w:rPr>
            </w:pPr>
          </w:p>
        </w:tc>
      </w:tr>
      <w:tr w:rsidR="003F5318" w:rsidRPr="00BB2BD7" w14:paraId="534D94D8" w14:textId="77777777" w:rsidTr="003F5318">
        <w:tc>
          <w:tcPr>
            <w:tcW w:w="3543" w:type="dxa"/>
            <w:gridSpan w:val="2"/>
          </w:tcPr>
          <w:p w14:paraId="4ADAD150" w14:textId="77777777" w:rsidR="003F5318" w:rsidRPr="00BB2BD7" w:rsidRDefault="003F5318" w:rsidP="002D2CEA">
            <w:pPr>
              <w:rPr>
                <w:rFonts w:ascii="Arial" w:hAnsi="Arial"/>
                <w:b/>
                <w:sz w:val="22"/>
                <w:szCs w:val="22"/>
              </w:rPr>
            </w:pPr>
            <w:r w:rsidRPr="00BB2BD7">
              <w:rPr>
                <w:rFonts w:ascii="Arial" w:hAnsi="Arial"/>
                <w:b/>
                <w:sz w:val="22"/>
                <w:szCs w:val="22"/>
              </w:rPr>
              <w:t>SOP prepared by:</w:t>
            </w:r>
          </w:p>
        </w:tc>
        <w:tc>
          <w:tcPr>
            <w:tcW w:w="2220" w:type="dxa"/>
          </w:tcPr>
          <w:p w14:paraId="479CB73D" w14:textId="77777777" w:rsidR="003F5318" w:rsidRPr="00BB2BD7" w:rsidRDefault="003F5318" w:rsidP="002D2CEA">
            <w:pPr>
              <w:rPr>
                <w:rFonts w:ascii="Arial" w:hAnsi="Arial"/>
                <w:sz w:val="22"/>
                <w:szCs w:val="22"/>
              </w:rPr>
            </w:pPr>
          </w:p>
        </w:tc>
        <w:tc>
          <w:tcPr>
            <w:tcW w:w="4319" w:type="dxa"/>
            <w:gridSpan w:val="2"/>
          </w:tcPr>
          <w:p w14:paraId="622E7C72" w14:textId="77777777" w:rsidR="003F5318" w:rsidRPr="00BB2BD7" w:rsidRDefault="003F5318" w:rsidP="002D2CEA">
            <w:pPr>
              <w:rPr>
                <w:rFonts w:ascii="Arial" w:hAnsi="Arial"/>
                <w:b/>
                <w:sz w:val="22"/>
                <w:szCs w:val="22"/>
              </w:rPr>
            </w:pPr>
            <w:r w:rsidRPr="00BB2BD7">
              <w:rPr>
                <w:rFonts w:ascii="Arial" w:hAnsi="Arial"/>
                <w:b/>
                <w:sz w:val="22"/>
                <w:szCs w:val="22"/>
              </w:rPr>
              <w:t>Review date for SOP:</w:t>
            </w:r>
          </w:p>
        </w:tc>
        <w:tc>
          <w:tcPr>
            <w:tcW w:w="1112" w:type="dxa"/>
          </w:tcPr>
          <w:p w14:paraId="2C6900B9" w14:textId="77777777" w:rsidR="003F5318" w:rsidRPr="00BB2BD7" w:rsidRDefault="003F5318" w:rsidP="002D2CEA">
            <w:pPr>
              <w:rPr>
                <w:rFonts w:ascii="Arial" w:hAnsi="Arial"/>
                <w:sz w:val="22"/>
                <w:szCs w:val="22"/>
              </w:rPr>
            </w:pPr>
          </w:p>
        </w:tc>
      </w:tr>
      <w:tr w:rsidR="003F5318" w:rsidRPr="00BB2BD7" w14:paraId="08E06238" w14:textId="77777777" w:rsidTr="003F5318">
        <w:tc>
          <w:tcPr>
            <w:tcW w:w="728" w:type="dxa"/>
          </w:tcPr>
          <w:p w14:paraId="3398E3DD" w14:textId="3BE82CDF" w:rsidR="003F5318" w:rsidRPr="00BB2BD7" w:rsidRDefault="003F5318" w:rsidP="003F5318">
            <w:pPr>
              <w:rPr>
                <w:rFonts w:ascii="Arial" w:hAnsi="Arial"/>
                <w:sz w:val="20"/>
                <w:szCs w:val="20"/>
              </w:rPr>
            </w:pPr>
            <w:r>
              <w:rPr>
                <w:rFonts w:ascii="Arial" w:hAnsi="Arial"/>
                <w:sz w:val="20"/>
                <w:szCs w:val="20"/>
              </w:rPr>
              <w:t>4 (</w:t>
            </w:r>
            <w:proofErr w:type="spellStart"/>
            <w:r>
              <w:rPr>
                <w:rFonts w:ascii="Arial" w:hAnsi="Arial"/>
                <w:sz w:val="20"/>
                <w:szCs w:val="20"/>
              </w:rPr>
              <w:t>cont</w:t>
            </w:r>
            <w:proofErr w:type="spellEnd"/>
            <w:r>
              <w:rPr>
                <w:rFonts w:ascii="Arial" w:hAnsi="Arial"/>
                <w:sz w:val="20"/>
                <w:szCs w:val="20"/>
              </w:rPr>
              <w:t>)</w:t>
            </w:r>
          </w:p>
        </w:tc>
        <w:tc>
          <w:tcPr>
            <w:tcW w:w="10466" w:type="dxa"/>
            <w:gridSpan w:val="5"/>
          </w:tcPr>
          <w:p w14:paraId="0B6A5235" w14:textId="0A6EA289" w:rsidR="003F5318" w:rsidRPr="003F5318" w:rsidRDefault="003F5318" w:rsidP="003F5318">
            <w:pPr>
              <w:rPr>
                <w:rFonts w:ascii="Arial" w:hAnsi="Arial"/>
                <w:sz w:val="22"/>
                <w:szCs w:val="22"/>
              </w:rPr>
            </w:pPr>
            <w:proofErr w:type="gramStart"/>
            <w:r w:rsidRPr="003F5318">
              <w:rPr>
                <w:rFonts w:ascii="Arial" w:hAnsi="Arial"/>
                <w:sz w:val="22"/>
                <w:szCs w:val="22"/>
              </w:rPr>
              <w:t>course</w:t>
            </w:r>
            <w:proofErr w:type="gramEnd"/>
            <w:r w:rsidRPr="003F5318">
              <w:rPr>
                <w:rFonts w:ascii="Arial" w:hAnsi="Arial"/>
                <w:sz w:val="22"/>
                <w:szCs w:val="22"/>
              </w:rPr>
              <w:t xml:space="preserve"> dose tapering</w:t>
            </w:r>
            <w:r>
              <w:rPr>
                <w:rFonts w:ascii="Arial" w:hAnsi="Arial"/>
                <w:sz w:val="22"/>
                <w:szCs w:val="22"/>
              </w:rPr>
              <w:t xml:space="preserve"> </w:t>
            </w:r>
            <w:r w:rsidRPr="003F5318">
              <w:rPr>
                <w:rFonts w:ascii="Arial" w:hAnsi="Arial"/>
                <w:sz w:val="22"/>
                <w:szCs w:val="22"/>
              </w:rPr>
              <w:t>(reducing to 1mg per day during last week) can be</w:t>
            </w:r>
            <w:r>
              <w:rPr>
                <w:rFonts w:ascii="Arial" w:hAnsi="Arial"/>
                <w:sz w:val="22"/>
                <w:szCs w:val="22"/>
              </w:rPr>
              <w:t xml:space="preserve"> </w:t>
            </w:r>
            <w:r w:rsidRPr="003F5318">
              <w:rPr>
                <w:rFonts w:ascii="Arial" w:hAnsi="Arial"/>
                <w:sz w:val="22"/>
                <w:szCs w:val="22"/>
              </w:rPr>
              <w:t>recommended if client is concerned about suddenly</w:t>
            </w:r>
            <w:r>
              <w:rPr>
                <w:rFonts w:ascii="Arial" w:hAnsi="Arial"/>
                <w:sz w:val="22"/>
                <w:szCs w:val="22"/>
              </w:rPr>
              <w:t xml:space="preserve"> </w:t>
            </w:r>
            <w:r w:rsidRPr="003F5318">
              <w:rPr>
                <w:rFonts w:ascii="Arial" w:hAnsi="Arial"/>
                <w:sz w:val="22"/>
                <w:szCs w:val="22"/>
              </w:rPr>
              <w:t>stopping medication.</w:t>
            </w:r>
            <w:r>
              <w:rPr>
                <w:rFonts w:ascii="Arial" w:hAnsi="Arial"/>
                <w:sz w:val="22"/>
                <w:szCs w:val="22"/>
              </w:rPr>
              <w:t xml:space="preserve"> </w:t>
            </w:r>
            <w:r w:rsidRPr="003F5318">
              <w:rPr>
                <w:rFonts w:ascii="Arial" w:hAnsi="Arial"/>
                <w:sz w:val="22"/>
                <w:szCs w:val="22"/>
              </w:rPr>
              <w:t>Clients should be assessed for any signs of changes in</w:t>
            </w:r>
            <w:r>
              <w:rPr>
                <w:rFonts w:ascii="Arial" w:hAnsi="Arial"/>
                <w:sz w:val="22"/>
                <w:szCs w:val="22"/>
              </w:rPr>
              <w:t xml:space="preserve"> </w:t>
            </w:r>
            <w:r w:rsidRPr="003F5318">
              <w:rPr>
                <w:rFonts w:ascii="Arial" w:hAnsi="Arial"/>
                <w:sz w:val="22"/>
                <w:szCs w:val="22"/>
              </w:rPr>
              <w:t>mental health status especially in relation to depressed</w:t>
            </w:r>
            <w:r>
              <w:rPr>
                <w:rFonts w:ascii="Arial" w:hAnsi="Arial"/>
                <w:sz w:val="22"/>
                <w:szCs w:val="22"/>
              </w:rPr>
              <w:t xml:space="preserve"> </w:t>
            </w:r>
            <w:r w:rsidRPr="003F5318">
              <w:rPr>
                <w:rFonts w:ascii="Arial" w:hAnsi="Arial"/>
                <w:sz w:val="22"/>
                <w:szCs w:val="22"/>
              </w:rPr>
              <w:t>mood, agitation and extreme thoughts at every visit to the</w:t>
            </w:r>
            <w:r>
              <w:rPr>
                <w:rFonts w:ascii="Arial" w:hAnsi="Arial"/>
                <w:sz w:val="22"/>
                <w:szCs w:val="22"/>
              </w:rPr>
              <w:t xml:space="preserve"> </w:t>
            </w:r>
            <w:r w:rsidRPr="003F5318">
              <w:rPr>
                <w:rFonts w:ascii="Arial" w:hAnsi="Arial"/>
                <w:sz w:val="22"/>
                <w:szCs w:val="22"/>
              </w:rPr>
              <w:t>pharmacy.</w:t>
            </w:r>
            <w:r>
              <w:rPr>
                <w:rFonts w:ascii="Arial" w:hAnsi="Arial"/>
                <w:sz w:val="22"/>
                <w:szCs w:val="22"/>
              </w:rPr>
              <w:t xml:space="preserve"> </w:t>
            </w:r>
            <w:proofErr w:type="spellStart"/>
            <w:r>
              <w:rPr>
                <w:rFonts w:ascii="Arial" w:hAnsi="Arial"/>
                <w:sz w:val="22"/>
                <w:szCs w:val="22"/>
              </w:rPr>
              <w:t>Varenicline</w:t>
            </w:r>
            <w:proofErr w:type="spellEnd"/>
            <w:r>
              <w:rPr>
                <w:rFonts w:ascii="Arial" w:hAnsi="Arial"/>
                <w:sz w:val="22"/>
                <w:szCs w:val="22"/>
              </w:rPr>
              <w:t xml:space="preserve"> cannot be supplied beyond 12 weeks.</w:t>
            </w:r>
          </w:p>
        </w:tc>
      </w:tr>
      <w:tr w:rsidR="003F5318" w:rsidRPr="00BB2BD7" w14:paraId="200F5D12" w14:textId="77777777" w:rsidTr="003F5318">
        <w:tc>
          <w:tcPr>
            <w:tcW w:w="728" w:type="dxa"/>
          </w:tcPr>
          <w:p w14:paraId="545DABD6" w14:textId="76C69359" w:rsidR="003F5318" w:rsidRPr="00BB2BD7" w:rsidRDefault="003F5318" w:rsidP="003F5318">
            <w:pPr>
              <w:rPr>
                <w:rFonts w:ascii="Arial" w:hAnsi="Arial"/>
                <w:sz w:val="20"/>
                <w:szCs w:val="20"/>
              </w:rPr>
            </w:pPr>
            <w:r w:rsidRPr="00BB2BD7">
              <w:rPr>
                <w:rFonts w:ascii="Arial" w:hAnsi="Arial"/>
                <w:sz w:val="20"/>
                <w:szCs w:val="20"/>
              </w:rPr>
              <w:t>5</w:t>
            </w:r>
          </w:p>
        </w:tc>
        <w:tc>
          <w:tcPr>
            <w:tcW w:w="10466" w:type="dxa"/>
            <w:gridSpan w:val="5"/>
          </w:tcPr>
          <w:p w14:paraId="29D8C98A" w14:textId="77777777" w:rsidR="003F5318" w:rsidRPr="003F5318" w:rsidRDefault="003F5318" w:rsidP="003F5318">
            <w:pPr>
              <w:rPr>
                <w:rFonts w:ascii="Arial" w:hAnsi="Arial"/>
                <w:b/>
                <w:sz w:val="22"/>
                <w:szCs w:val="22"/>
              </w:rPr>
            </w:pPr>
            <w:r w:rsidRPr="003F5318">
              <w:rPr>
                <w:rFonts w:ascii="Arial" w:hAnsi="Arial"/>
                <w:b/>
                <w:sz w:val="22"/>
                <w:szCs w:val="22"/>
              </w:rPr>
              <w:t xml:space="preserve">Supply </w:t>
            </w:r>
          </w:p>
          <w:p w14:paraId="656136D9" w14:textId="77777777" w:rsidR="003F5318" w:rsidRPr="003F5318" w:rsidRDefault="003F5318" w:rsidP="003F5318">
            <w:pPr>
              <w:rPr>
                <w:rFonts w:ascii="Arial" w:hAnsi="Arial"/>
                <w:sz w:val="22"/>
                <w:szCs w:val="22"/>
              </w:rPr>
            </w:pPr>
            <w:r w:rsidRPr="003F5318">
              <w:rPr>
                <w:rFonts w:ascii="Arial" w:hAnsi="Arial"/>
                <w:sz w:val="22"/>
                <w:szCs w:val="22"/>
              </w:rPr>
              <w:t xml:space="preserve">Please note that for </w:t>
            </w:r>
            <w:proofErr w:type="spellStart"/>
            <w:r w:rsidRPr="003F5318">
              <w:rPr>
                <w:rFonts w:ascii="Arial" w:hAnsi="Arial"/>
                <w:sz w:val="22"/>
                <w:szCs w:val="22"/>
              </w:rPr>
              <w:t>varenicline</w:t>
            </w:r>
            <w:proofErr w:type="spellEnd"/>
            <w:r w:rsidRPr="003F5318">
              <w:rPr>
                <w:rFonts w:ascii="Arial" w:hAnsi="Arial"/>
                <w:sz w:val="22"/>
                <w:szCs w:val="22"/>
              </w:rPr>
              <w:t xml:space="preserve"> quantity to be administered and/or supplied should follow the process according to the PGD:</w:t>
            </w:r>
          </w:p>
          <w:p w14:paraId="5D82068F" w14:textId="77777777" w:rsidR="003F5318" w:rsidRPr="003F5318" w:rsidRDefault="003F5318" w:rsidP="003F5318">
            <w:pPr>
              <w:pStyle w:val="ListParagraph"/>
              <w:numPr>
                <w:ilvl w:val="0"/>
                <w:numId w:val="27"/>
              </w:numPr>
              <w:rPr>
                <w:rFonts w:ascii="Arial" w:hAnsi="Arial"/>
                <w:sz w:val="22"/>
                <w:szCs w:val="22"/>
              </w:rPr>
            </w:pPr>
            <w:r w:rsidRPr="003F5318">
              <w:rPr>
                <w:rFonts w:ascii="Arial" w:hAnsi="Arial"/>
                <w:sz w:val="22"/>
                <w:szCs w:val="22"/>
              </w:rPr>
              <w:t>1st supply – 2 weeks (initiation pack containing 11 x 0.5mg tablets &amp; 14 x 1mg tablets)</w:t>
            </w:r>
          </w:p>
          <w:p w14:paraId="60429315" w14:textId="77777777" w:rsidR="003F5318" w:rsidRPr="003F5318" w:rsidRDefault="003F5318" w:rsidP="003F5318">
            <w:pPr>
              <w:pStyle w:val="ListParagraph"/>
              <w:numPr>
                <w:ilvl w:val="0"/>
                <w:numId w:val="27"/>
              </w:numPr>
              <w:rPr>
                <w:rFonts w:ascii="Arial" w:hAnsi="Arial"/>
                <w:sz w:val="22"/>
                <w:szCs w:val="22"/>
              </w:rPr>
            </w:pPr>
            <w:r w:rsidRPr="003F5318">
              <w:rPr>
                <w:rFonts w:ascii="Arial" w:hAnsi="Arial"/>
                <w:sz w:val="22"/>
                <w:szCs w:val="22"/>
              </w:rPr>
              <w:t>2nd supply – 2 weeks (1mg tablets x 28)</w:t>
            </w:r>
          </w:p>
          <w:p w14:paraId="7511857C" w14:textId="77777777" w:rsidR="003F5318" w:rsidRPr="003F5318" w:rsidRDefault="003F5318" w:rsidP="003F5318">
            <w:pPr>
              <w:pStyle w:val="ListParagraph"/>
              <w:numPr>
                <w:ilvl w:val="0"/>
                <w:numId w:val="27"/>
              </w:numPr>
              <w:rPr>
                <w:rFonts w:ascii="Arial" w:hAnsi="Arial"/>
                <w:sz w:val="22"/>
                <w:szCs w:val="22"/>
              </w:rPr>
            </w:pPr>
            <w:r w:rsidRPr="003F5318">
              <w:rPr>
                <w:rFonts w:ascii="Arial" w:hAnsi="Arial"/>
                <w:sz w:val="22"/>
                <w:szCs w:val="22"/>
              </w:rPr>
              <w:t>3rd supply – 2 weeks (1mg tablets x 28)</w:t>
            </w:r>
          </w:p>
          <w:p w14:paraId="3C3AE5BA" w14:textId="77777777" w:rsidR="003F5318" w:rsidRPr="003F5318" w:rsidRDefault="003F5318" w:rsidP="003F5318">
            <w:pPr>
              <w:pStyle w:val="ListParagraph"/>
              <w:numPr>
                <w:ilvl w:val="0"/>
                <w:numId w:val="27"/>
              </w:numPr>
              <w:rPr>
                <w:rFonts w:ascii="Arial" w:hAnsi="Arial"/>
                <w:sz w:val="22"/>
                <w:szCs w:val="22"/>
              </w:rPr>
            </w:pPr>
            <w:r w:rsidRPr="003F5318">
              <w:rPr>
                <w:rFonts w:ascii="Arial" w:hAnsi="Arial"/>
                <w:sz w:val="22"/>
                <w:szCs w:val="22"/>
              </w:rPr>
              <w:t>4th supply – 2 weeks (1mg tablets x 28)</w:t>
            </w:r>
          </w:p>
          <w:p w14:paraId="3A8BD7D4" w14:textId="77777777" w:rsidR="003F5318" w:rsidRPr="003F5318" w:rsidRDefault="003F5318" w:rsidP="003F5318">
            <w:pPr>
              <w:pStyle w:val="ListParagraph"/>
              <w:numPr>
                <w:ilvl w:val="0"/>
                <w:numId w:val="27"/>
              </w:numPr>
              <w:rPr>
                <w:rFonts w:ascii="Arial" w:hAnsi="Arial"/>
                <w:sz w:val="22"/>
                <w:szCs w:val="22"/>
              </w:rPr>
            </w:pPr>
            <w:r w:rsidRPr="003F5318">
              <w:rPr>
                <w:rFonts w:ascii="Arial" w:hAnsi="Arial"/>
                <w:sz w:val="22"/>
                <w:szCs w:val="22"/>
              </w:rPr>
              <w:t>5th supply – 2 weeks (1mg tablets x 28)</w:t>
            </w:r>
          </w:p>
          <w:p w14:paraId="36DF896F" w14:textId="63FD935B" w:rsidR="003F5318" w:rsidRPr="007B157C" w:rsidRDefault="003F5318" w:rsidP="003F5318">
            <w:pPr>
              <w:pStyle w:val="ListParagraph"/>
              <w:numPr>
                <w:ilvl w:val="0"/>
                <w:numId w:val="27"/>
              </w:numPr>
              <w:rPr>
                <w:rFonts w:ascii="Arial" w:hAnsi="Arial"/>
                <w:sz w:val="22"/>
                <w:szCs w:val="22"/>
              </w:rPr>
            </w:pPr>
            <w:r w:rsidRPr="003F5318">
              <w:rPr>
                <w:rFonts w:ascii="Arial" w:hAnsi="Arial"/>
                <w:sz w:val="22"/>
                <w:szCs w:val="22"/>
              </w:rPr>
              <w:t>6th supply – 2 weeks (1mg tablets x 28)</w:t>
            </w:r>
          </w:p>
          <w:p w14:paraId="289610CD" w14:textId="633558E2" w:rsidR="003F5318" w:rsidRPr="003F5318" w:rsidRDefault="003F5318" w:rsidP="003F5318">
            <w:pPr>
              <w:rPr>
                <w:rFonts w:ascii="Arial" w:hAnsi="Arial"/>
                <w:sz w:val="22"/>
                <w:szCs w:val="22"/>
              </w:rPr>
            </w:pPr>
            <w:r w:rsidRPr="003F5318">
              <w:rPr>
                <w:rFonts w:ascii="Arial" w:hAnsi="Arial"/>
                <w:sz w:val="22"/>
                <w:szCs w:val="22"/>
              </w:rPr>
              <w:t>Where the dose is reduced to 0.5mg twice a day a pack of 28 tablets to be supplied as above. Each supply must be labelled and include a patient information leaflet (PIL).</w:t>
            </w:r>
          </w:p>
        </w:tc>
      </w:tr>
      <w:tr w:rsidR="003F5318" w:rsidRPr="00BB2BD7" w14:paraId="398562B7" w14:textId="77777777" w:rsidTr="003F5318">
        <w:tc>
          <w:tcPr>
            <w:tcW w:w="728" w:type="dxa"/>
          </w:tcPr>
          <w:p w14:paraId="787F8AA2" w14:textId="3246B639" w:rsidR="003F5318" w:rsidRPr="00BB2BD7" w:rsidRDefault="003F5318" w:rsidP="003F5318">
            <w:pPr>
              <w:rPr>
                <w:rFonts w:ascii="Arial" w:hAnsi="Arial"/>
                <w:sz w:val="20"/>
                <w:szCs w:val="20"/>
              </w:rPr>
            </w:pPr>
            <w:r w:rsidRPr="00BB2BD7">
              <w:rPr>
                <w:rFonts w:ascii="Arial" w:hAnsi="Arial"/>
                <w:sz w:val="20"/>
                <w:szCs w:val="20"/>
              </w:rPr>
              <w:t>6</w:t>
            </w:r>
          </w:p>
        </w:tc>
        <w:tc>
          <w:tcPr>
            <w:tcW w:w="10466" w:type="dxa"/>
            <w:gridSpan w:val="5"/>
          </w:tcPr>
          <w:p w14:paraId="5B276862" w14:textId="77777777" w:rsidR="003F5318" w:rsidRPr="006B385F" w:rsidRDefault="003F5318" w:rsidP="003F5318">
            <w:pPr>
              <w:rPr>
                <w:rFonts w:ascii="Arial" w:hAnsi="Arial"/>
                <w:b/>
                <w:sz w:val="22"/>
                <w:szCs w:val="22"/>
              </w:rPr>
            </w:pPr>
            <w:r w:rsidRPr="006B385F">
              <w:rPr>
                <w:rFonts w:ascii="Arial" w:hAnsi="Arial"/>
                <w:b/>
                <w:sz w:val="22"/>
                <w:szCs w:val="22"/>
              </w:rPr>
              <w:t>Records</w:t>
            </w:r>
          </w:p>
          <w:p w14:paraId="11527AB5" w14:textId="77777777"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Date of supply</w:t>
            </w:r>
          </w:p>
          <w:p w14:paraId="16BA3312" w14:textId="778D1B1D"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Client assessment form (Appendix 2</w:t>
            </w:r>
            <w:r>
              <w:rPr>
                <w:rFonts w:ascii="Arial" w:hAnsi="Arial"/>
                <w:sz w:val="22"/>
                <w:szCs w:val="22"/>
              </w:rPr>
              <w:t xml:space="preserve"> of PGD</w:t>
            </w:r>
            <w:r w:rsidRPr="00D35F7A">
              <w:rPr>
                <w:rFonts w:ascii="Arial" w:hAnsi="Arial"/>
                <w:sz w:val="22"/>
                <w:szCs w:val="22"/>
              </w:rPr>
              <w:t>) must be completed</w:t>
            </w:r>
            <w:r>
              <w:rPr>
                <w:rFonts w:ascii="Arial" w:hAnsi="Arial"/>
                <w:sz w:val="22"/>
                <w:szCs w:val="22"/>
              </w:rPr>
              <w:t xml:space="preserve"> </w:t>
            </w:r>
            <w:r w:rsidRPr="00D35F7A">
              <w:rPr>
                <w:rFonts w:ascii="Arial" w:hAnsi="Arial"/>
                <w:sz w:val="22"/>
                <w:szCs w:val="22"/>
              </w:rPr>
              <w:t>in full and signed by pharmacist and client or completed</w:t>
            </w:r>
            <w:r>
              <w:rPr>
                <w:rFonts w:ascii="Arial" w:hAnsi="Arial"/>
                <w:sz w:val="22"/>
                <w:szCs w:val="22"/>
              </w:rPr>
              <w:t xml:space="preserve"> </w:t>
            </w:r>
            <w:r w:rsidRPr="00D35F7A">
              <w:rPr>
                <w:rFonts w:ascii="Arial" w:hAnsi="Arial"/>
                <w:sz w:val="22"/>
                <w:szCs w:val="22"/>
              </w:rPr>
              <w:t>electronically and verbally agreed by the client</w:t>
            </w:r>
          </w:p>
          <w:p w14:paraId="0045EE38" w14:textId="5E47B737"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Dose</w:t>
            </w:r>
          </w:p>
          <w:p w14:paraId="15D0820F" w14:textId="7390E27F"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Manufacturer / Brand</w:t>
            </w:r>
          </w:p>
          <w:p w14:paraId="7B1A3743" w14:textId="7C86DE15"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Batch number</w:t>
            </w:r>
          </w:p>
          <w:p w14:paraId="37C70E4A" w14:textId="55A752BC"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Expiry date</w:t>
            </w:r>
          </w:p>
          <w:p w14:paraId="6A7C1029" w14:textId="7CD473BD" w:rsidR="003F5318" w:rsidRPr="00D35F7A" w:rsidRDefault="003F5318" w:rsidP="003F5318">
            <w:pPr>
              <w:pStyle w:val="ListParagraph"/>
              <w:numPr>
                <w:ilvl w:val="0"/>
                <w:numId w:val="32"/>
              </w:numPr>
              <w:rPr>
                <w:rFonts w:ascii="Arial" w:hAnsi="Arial"/>
                <w:sz w:val="22"/>
                <w:szCs w:val="22"/>
              </w:rPr>
            </w:pPr>
            <w:r w:rsidRPr="00D35F7A">
              <w:rPr>
                <w:rFonts w:ascii="Arial" w:hAnsi="Arial"/>
                <w:sz w:val="22"/>
                <w:szCs w:val="22"/>
              </w:rPr>
              <w:t>Any adverse reactions experienced</w:t>
            </w:r>
          </w:p>
          <w:p w14:paraId="0457CF89" w14:textId="607B156A" w:rsidR="003F5318" w:rsidRPr="007B157C" w:rsidRDefault="003F5318" w:rsidP="003F5318">
            <w:pPr>
              <w:pStyle w:val="ListParagraph"/>
              <w:numPr>
                <w:ilvl w:val="0"/>
                <w:numId w:val="32"/>
              </w:numPr>
              <w:rPr>
                <w:rFonts w:ascii="Arial" w:hAnsi="Arial"/>
                <w:sz w:val="22"/>
                <w:szCs w:val="22"/>
              </w:rPr>
            </w:pPr>
            <w:r w:rsidRPr="00D35F7A">
              <w:rPr>
                <w:rFonts w:ascii="Arial" w:hAnsi="Arial"/>
                <w:sz w:val="22"/>
                <w:szCs w:val="22"/>
              </w:rPr>
              <w:t>Advice given</w:t>
            </w:r>
          </w:p>
          <w:p w14:paraId="4FF65E1D" w14:textId="384523E0" w:rsidR="003F5318" w:rsidRPr="00D35F7A" w:rsidRDefault="003F5318" w:rsidP="003F5318">
            <w:pPr>
              <w:rPr>
                <w:rFonts w:ascii="Arial" w:hAnsi="Arial"/>
                <w:sz w:val="22"/>
                <w:szCs w:val="22"/>
              </w:rPr>
            </w:pPr>
            <w:r w:rsidRPr="00D35F7A">
              <w:rPr>
                <w:rFonts w:ascii="Arial" w:hAnsi="Arial"/>
                <w:sz w:val="22"/>
                <w:szCs w:val="22"/>
              </w:rPr>
              <w:t>Records must be kept securely in compliance with the</w:t>
            </w:r>
            <w:r>
              <w:rPr>
                <w:rFonts w:ascii="Arial" w:hAnsi="Arial"/>
                <w:sz w:val="22"/>
                <w:szCs w:val="22"/>
              </w:rPr>
              <w:t xml:space="preserve"> </w:t>
            </w:r>
            <w:r w:rsidRPr="00D35F7A">
              <w:rPr>
                <w:rFonts w:ascii="Arial" w:hAnsi="Arial"/>
                <w:sz w:val="22"/>
                <w:szCs w:val="22"/>
              </w:rPr>
              <w:t xml:space="preserve">Data Protection Act and </w:t>
            </w:r>
            <w:proofErr w:type="spellStart"/>
            <w:r w:rsidRPr="00D35F7A">
              <w:rPr>
                <w:rFonts w:ascii="Arial" w:hAnsi="Arial"/>
                <w:sz w:val="22"/>
                <w:szCs w:val="22"/>
              </w:rPr>
              <w:t>Caldicott</w:t>
            </w:r>
            <w:proofErr w:type="spellEnd"/>
            <w:r w:rsidRPr="00D35F7A">
              <w:rPr>
                <w:rFonts w:ascii="Arial" w:hAnsi="Arial"/>
                <w:sz w:val="22"/>
                <w:szCs w:val="22"/>
              </w:rPr>
              <w:t xml:space="preserve"> guidelines. Records may</w:t>
            </w:r>
            <w:r>
              <w:rPr>
                <w:rFonts w:ascii="Arial" w:hAnsi="Arial"/>
                <w:sz w:val="22"/>
                <w:szCs w:val="22"/>
              </w:rPr>
              <w:t xml:space="preserve"> </w:t>
            </w:r>
            <w:r w:rsidRPr="00D35F7A">
              <w:rPr>
                <w:rFonts w:ascii="Arial" w:hAnsi="Arial"/>
                <w:sz w:val="22"/>
                <w:szCs w:val="22"/>
              </w:rPr>
              <w:t>be paper-based or kept electronically on a secure</w:t>
            </w:r>
            <w:r>
              <w:rPr>
                <w:rFonts w:ascii="Arial" w:hAnsi="Arial"/>
                <w:sz w:val="22"/>
                <w:szCs w:val="22"/>
              </w:rPr>
              <w:t xml:space="preserve"> </w:t>
            </w:r>
            <w:r w:rsidRPr="00D35F7A">
              <w:rPr>
                <w:rFonts w:ascii="Arial" w:hAnsi="Arial"/>
                <w:sz w:val="22"/>
                <w:szCs w:val="22"/>
              </w:rPr>
              <w:t>database app.</w:t>
            </w:r>
          </w:p>
        </w:tc>
      </w:tr>
      <w:tr w:rsidR="003F5318" w:rsidRPr="00BB2BD7" w14:paraId="181AB165" w14:textId="77777777" w:rsidTr="004D105E">
        <w:tc>
          <w:tcPr>
            <w:tcW w:w="11194" w:type="dxa"/>
            <w:gridSpan w:val="6"/>
          </w:tcPr>
          <w:p w14:paraId="5E90B06E" w14:textId="77777777" w:rsidR="003F5318" w:rsidRPr="00BB2BD7" w:rsidRDefault="003F5318" w:rsidP="003F5318">
            <w:pPr>
              <w:rPr>
                <w:rFonts w:ascii="Arial" w:hAnsi="Arial"/>
                <w:b/>
                <w:sz w:val="22"/>
                <w:szCs w:val="22"/>
              </w:rPr>
            </w:pPr>
            <w:r w:rsidRPr="00BB2BD7">
              <w:rPr>
                <w:rFonts w:ascii="Arial" w:hAnsi="Arial"/>
                <w:b/>
                <w:sz w:val="22"/>
                <w:szCs w:val="22"/>
              </w:rPr>
              <w:t>Clinical Governance</w:t>
            </w:r>
          </w:p>
          <w:p w14:paraId="27B9A5CF" w14:textId="4C4501A2" w:rsidR="003F5318" w:rsidRPr="00BB2BD7" w:rsidRDefault="003F5318" w:rsidP="003F5318">
            <w:pPr>
              <w:rPr>
                <w:rFonts w:ascii="Arial" w:hAnsi="Arial"/>
                <w:sz w:val="22"/>
                <w:szCs w:val="22"/>
              </w:rPr>
            </w:pPr>
            <w:r w:rsidRPr="00BB2BD7">
              <w:rPr>
                <w:rFonts w:ascii="Arial" w:hAnsi="Arial"/>
                <w:sz w:val="22"/>
                <w:szCs w:val="22"/>
              </w:rPr>
              <w:t>Confidentiality is a matter of both law and ethics. All staff must respect the confidentiality of information</w:t>
            </w:r>
            <w:r>
              <w:rPr>
                <w:rFonts w:ascii="Arial" w:hAnsi="Arial"/>
                <w:sz w:val="22"/>
                <w:szCs w:val="22"/>
              </w:rPr>
              <w:t xml:space="preserve"> </w:t>
            </w:r>
            <w:r w:rsidRPr="00BB2BD7">
              <w:rPr>
                <w:rFonts w:ascii="Arial" w:hAnsi="Arial"/>
                <w:sz w:val="22"/>
                <w:szCs w:val="22"/>
              </w:rPr>
              <w:t>relating to the patient and their family acquired in the course of the Service. Such information should not be disclosed to anyone without the consent of the patient.</w:t>
            </w:r>
            <w:r>
              <w:rPr>
                <w:rFonts w:ascii="Arial" w:hAnsi="Arial"/>
                <w:sz w:val="22"/>
                <w:szCs w:val="22"/>
              </w:rPr>
              <w:t xml:space="preserve"> </w:t>
            </w:r>
            <w:r w:rsidRPr="00BB2BD7">
              <w:rPr>
                <w:rFonts w:ascii="Arial" w:hAnsi="Arial"/>
                <w:sz w:val="22"/>
                <w:szCs w:val="22"/>
              </w:rPr>
              <w:t>All forms and paperwork containing personal information of a patient should not be left unattended and must be kept securely when not in use, to prevent any unauthorised access to the data.</w:t>
            </w:r>
            <w:r w:rsidR="007B157C">
              <w:rPr>
                <w:rFonts w:ascii="Arial" w:hAnsi="Arial"/>
                <w:sz w:val="22"/>
                <w:szCs w:val="22"/>
              </w:rPr>
              <w:t xml:space="preserve"> </w:t>
            </w:r>
            <w:r w:rsidRPr="006B385F">
              <w:rPr>
                <w:rFonts w:ascii="Arial" w:hAnsi="Arial"/>
                <w:sz w:val="22"/>
                <w:szCs w:val="22"/>
              </w:rPr>
              <w:t>A written or electronic record of consent must be obtained</w:t>
            </w:r>
            <w:r>
              <w:rPr>
                <w:rFonts w:ascii="Arial" w:hAnsi="Arial"/>
                <w:sz w:val="22"/>
                <w:szCs w:val="22"/>
              </w:rPr>
              <w:t xml:space="preserve"> </w:t>
            </w:r>
            <w:r w:rsidRPr="006B385F">
              <w:rPr>
                <w:rFonts w:ascii="Arial" w:hAnsi="Arial"/>
                <w:sz w:val="22"/>
                <w:szCs w:val="22"/>
              </w:rPr>
              <w:t>in accordance with Hertfordshire County Council’s Public</w:t>
            </w:r>
            <w:r>
              <w:rPr>
                <w:rFonts w:ascii="Arial" w:hAnsi="Arial"/>
                <w:sz w:val="22"/>
                <w:szCs w:val="22"/>
              </w:rPr>
              <w:t xml:space="preserve"> </w:t>
            </w:r>
            <w:r w:rsidRPr="006B385F">
              <w:rPr>
                <w:rFonts w:ascii="Arial" w:hAnsi="Arial"/>
                <w:sz w:val="22"/>
                <w:szCs w:val="22"/>
              </w:rPr>
              <w:t>Health Contract with community pharmacy contractors.</w:t>
            </w:r>
            <w:r>
              <w:rPr>
                <w:rFonts w:ascii="Arial" w:hAnsi="Arial"/>
                <w:sz w:val="22"/>
                <w:szCs w:val="22"/>
              </w:rPr>
              <w:t xml:space="preserve"> </w:t>
            </w:r>
            <w:r w:rsidRPr="006B385F">
              <w:rPr>
                <w:rFonts w:ascii="Arial" w:hAnsi="Arial"/>
                <w:sz w:val="22"/>
                <w:szCs w:val="22"/>
              </w:rPr>
              <w:t>Clients must be informed that information relating to the</w:t>
            </w:r>
            <w:r>
              <w:rPr>
                <w:rFonts w:ascii="Arial" w:hAnsi="Arial"/>
                <w:sz w:val="22"/>
                <w:szCs w:val="22"/>
              </w:rPr>
              <w:t xml:space="preserve"> s</w:t>
            </w:r>
            <w:r w:rsidRPr="006B385F">
              <w:rPr>
                <w:rFonts w:ascii="Arial" w:hAnsi="Arial"/>
                <w:sz w:val="22"/>
                <w:szCs w:val="22"/>
              </w:rPr>
              <w:t xml:space="preserve">upply of </w:t>
            </w:r>
            <w:proofErr w:type="spellStart"/>
            <w:r w:rsidRPr="006B385F">
              <w:rPr>
                <w:rFonts w:ascii="Arial" w:hAnsi="Arial"/>
                <w:sz w:val="22"/>
                <w:szCs w:val="22"/>
              </w:rPr>
              <w:t>varenicline</w:t>
            </w:r>
            <w:proofErr w:type="spellEnd"/>
            <w:r w:rsidRPr="006B385F">
              <w:rPr>
                <w:rFonts w:ascii="Arial" w:hAnsi="Arial"/>
                <w:sz w:val="22"/>
                <w:szCs w:val="22"/>
              </w:rPr>
              <w:t xml:space="preserve"> under a PGD will be shared with</w:t>
            </w:r>
            <w:r>
              <w:rPr>
                <w:rFonts w:ascii="Arial" w:hAnsi="Arial"/>
                <w:sz w:val="22"/>
                <w:szCs w:val="22"/>
              </w:rPr>
              <w:t xml:space="preserve"> </w:t>
            </w:r>
            <w:r w:rsidRPr="006B385F">
              <w:rPr>
                <w:rFonts w:ascii="Arial" w:hAnsi="Arial"/>
                <w:sz w:val="22"/>
                <w:szCs w:val="22"/>
              </w:rPr>
              <w:t>HSSS, and may be shared with their GP.</w:t>
            </w:r>
          </w:p>
        </w:tc>
      </w:tr>
      <w:tr w:rsidR="003F5318" w:rsidRPr="00BB2BD7" w14:paraId="6F6000B8" w14:textId="77777777" w:rsidTr="004D105E">
        <w:tc>
          <w:tcPr>
            <w:tcW w:w="11194" w:type="dxa"/>
            <w:gridSpan w:val="6"/>
          </w:tcPr>
          <w:p w14:paraId="25703DF2" w14:textId="77777777" w:rsidR="003F5318" w:rsidRPr="00BB2BD7" w:rsidRDefault="003F5318" w:rsidP="003F5318">
            <w:pPr>
              <w:rPr>
                <w:rFonts w:ascii="Arial" w:hAnsi="Arial"/>
                <w:b/>
                <w:sz w:val="22"/>
                <w:szCs w:val="22"/>
              </w:rPr>
            </w:pPr>
            <w:r w:rsidRPr="00BB2BD7">
              <w:rPr>
                <w:rFonts w:ascii="Arial" w:hAnsi="Arial"/>
                <w:b/>
                <w:sz w:val="22"/>
                <w:szCs w:val="22"/>
              </w:rPr>
              <w:t>Incident and Near Miss</w:t>
            </w:r>
          </w:p>
          <w:p w14:paraId="5E05319F" w14:textId="2E6DC813" w:rsidR="003F5318" w:rsidRPr="00BB2BD7" w:rsidRDefault="003F5318" w:rsidP="003F5318">
            <w:pPr>
              <w:rPr>
                <w:rFonts w:ascii="Arial" w:hAnsi="Arial"/>
                <w:sz w:val="22"/>
                <w:szCs w:val="22"/>
              </w:rPr>
            </w:pPr>
            <w:r w:rsidRPr="00BB2BD7">
              <w:rPr>
                <w:rFonts w:ascii="Arial" w:hAnsi="Arial"/>
                <w:sz w:val="22"/>
                <w:szCs w:val="22"/>
              </w:rPr>
              <w:t>Any near miss or incident occurrin</w:t>
            </w:r>
            <w:r>
              <w:rPr>
                <w:rFonts w:ascii="Arial" w:hAnsi="Arial"/>
                <w:sz w:val="22"/>
                <w:szCs w:val="22"/>
              </w:rPr>
              <w:t>g while undertaking this PGD</w:t>
            </w:r>
            <w:r w:rsidRPr="00BB2BD7">
              <w:rPr>
                <w:rFonts w:ascii="Arial" w:hAnsi="Arial"/>
                <w:sz w:val="22"/>
                <w:szCs w:val="22"/>
              </w:rPr>
              <w:t xml:space="preserve"> should be reported to the Responsible</w:t>
            </w:r>
          </w:p>
          <w:p w14:paraId="44A15546" w14:textId="77777777" w:rsidR="003F5318" w:rsidRDefault="003F5318" w:rsidP="003F5318">
            <w:pPr>
              <w:rPr>
                <w:rFonts w:ascii="Arial" w:hAnsi="Arial"/>
                <w:sz w:val="22"/>
                <w:szCs w:val="22"/>
              </w:rPr>
            </w:pPr>
            <w:r w:rsidRPr="00BB2BD7">
              <w:rPr>
                <w:rFonts w:ascii="Arial" w:hAnsi="Arial"/>
                <w:sz w:val="22"/>
                <w:szCs w:val="22"/>
              </w:rPr>
              <w:t>Pharmacist immediately. The Responsible Pharmacist must carry out any necessary action a</w:t>
            </w:r>
            <w:r>
              <w:rPr>
                <w:rFonts w:ascii="Arial" w:hAnsi="Arial"/>
                <w:sz w:val="22"/>
                <w:szCs w:val="22"/>
              </w:rPr>
              <w:t xml:space="preserve">nd report the </w:t>
            </w:r>
            <w:r w:rsidRPr="00BB2BD7">
              <w:rPr>
                <w:rFonts w:ascii="Arial" w:hAnsi="Arial"/>
                <w:sz w:val="22"/>
                <w:szCs w:val="22"/>
              </w:rPr>
              <w:t>incident / near miss as per the pharmacies own Incident Reporting policy and procedure.</w:t>
            </w:r>
          </w:p>
          <w:p w14:paraId="7C513D23" w14:textId="77777777" w:rsidR="003F5318" w:rsidRDefault="003F5318" w:rsidP="003F5318">
            <w:pPr>
              <w:rPr>
                <w:rFonts w:ascii="Arial" w:hAnsi="Arial"/>
                <w:sz w:val="22"/>
                <w:szCs w:val="22"/>
              </w:rPr>
            </w:pPr>
          </w:p>
          <w:p w14:paraId="578ED561" w14:textId="16A6E100" w:rsidR="003F5318" w:rsidRPr="006B385F" w:rsidRDefault="003F5318" w:rsidP="003F5318">
            <w:pPr>
              <w:rPr>
                <w:rFonts w:ascii="Arial" w:hAnsi="Arial"/>
                <w:sz w:val="22"/>
                <w:szCs w:val="22"/>
              </w:rPr>
            </w:pPr>
            <w:r w:rsidRPr="006B385F">
              <w:rPr>
                <w:rFonts w:ascii="Arial" w:hAnsi="Arial"/>
                <w:sz w:val="22"/>
                <w:szCs w:val="22"/>
              </w:rPr>
              <w:t>All adverse drug reactions</w:t>
            </w:r>
            <w:r>
              <w:rPr>
                <w:rFonts w:ascii="Arial" w:hAnsi="Arial"/>
                <w:sz w:val="22"/>
                <w:szCs w:val="22"/>
              </w:rPr>
              <w:t xml:space="preserve"> to </w:t>
            </w:r>
            <w:proofErr w:type="spellStart"/>
            <w:r>
              <w:rPr>
                <w:rFonts w:ascii="Arial" w:hAnsi="Arial"/>
                <w:sz w:val="22"/>
                <w:szCs w:val="22"/>
              </w:rPr>
              <w:t>varenicline</w:t>
            </w:r>
            <w:proofErr w:type="spellEnd"/>
            <w:r w:rsidRPr="006B385F">
              <w:rPr>
                <w:rFonts w:ascii="Arial" w:hAnsi="Arial"/>
                <w:sz w:val="22"/>
                <w:szCs w:val="22"/>
              </w:rPr>
              <w:t xml:space="preserve"> must</w:t>
            </w:r>
            <w:r>
              <w:rPr>
                <w:rFonts w:ascii="Arial" w:hAnsi="Arial"/>
                <w:sz w:val="22"/>
                <w:szCs w:val="22"/>
              </w:rPr>
              <w:t xml:space="preserve"> be reported immediately to the </w:t>
            </w:r>
            <w:r w:rsidRPr="006B385F">
              <w:rPr>
                <w:rFonts w:ascii="Arial" w:hAnsi="Arial"/>
                <w:sz w:val="22"/>
                <w:szCs w:val="22"/>
              </w:rPr>
              <w:t>client’s GP.</w:t>
            </w:r>
            <w:r>
              <w:rPr>
                <w:rFonts w:ascii="Arial" w:hAnsi="Arial"/>
                <w:sz w:val="22"/>
                <w:szCs w:val="22"/>
              </w:rPr>
              <w:t xml:space="preserve"> </w:t>
            </w:r>
            <w:r w:rsidRPr="006B385F">
              <w:rPr>
                <w:rFonts w:ascii="Arial" w:hAnsi="Arial"/>
                <w:sz w:val="22"/>
                <w:szCs w:val="22"/>
              </w:rPr>
              <w:t>Clients should be advised to discontinue treatment and seek</w:t>
            </w:r>
            <w:r>
              <w:rPr>
                <w:rFonts w:ascii="Arial" w:hAnsi="Arial"/>
                <w:sz w:val="22"/>
                <w:szCs w:val="22"/>
              </w:rPr>
              <w:t xml:space="preserve"> </w:t>
            </w:r>
            <w:r w:rsidRPr="006B385F">
              <w:rPr>
                <w:rFonts w:ascii="Arial" w:hAnsi="Arial"/>
                <w:sz w:val="22"/>
                <w:szCs w:val="22"/>
              </w:rPr>
              <w:t>prompt medical advice if they develop agitation, depressed mood</w:t>
            </w:r>
          </w:p>
          <w:p w14:paraId="164A1ECC" w14:textId="0D49013C" w:rsidR="003F5318" w:rsidRPr="006B385F" w:rsidRDefault="003F5318" w:rsidP="003F5318">
            <w:pPr>
              <w:rPr>
                <w:rFonts w:ascii="Arial" w:hAnsi="Arial"/>
                <w:sz w:val="22"/>
                <w:szCs w:val="22"/>
              </w:rPr>
            </w:pPr>
            <w:proofErr w:type="gramStart"/>
            <w:r w:rsidRPr="006B385F">
              <w:rPr>
                <w:rFonts w:ascii="Arial" w:hAnsi="Arial"/>
                <w:sz w:val="22"/>
                <w:szCs w:val="22"/>
              </w:rPr>
              <w:t>or</w:t>
            </w:r>
            <w:proofErr w:type="gramEnd"/>
            <w:r w:rsidRPr="006B385F">
              <w:rPr>
                <w:rFonts w:ascii="Arial" w:hAnsi="Arial"/>
                <w:sz w:val="22"/>
                <w:szCs w:val="22"/>
              </w:rPr>
              <w:t xml:space="preserve"> suicidal thoughts beyond w</w:t>
            </w:r>
            <w:r>
              <w:rPr>
                <w:rFonts w:ascii="Arial" w:hAnsi="Arial"/>
                <w:sz w:val="22"/>
                <w:szCs w:val="22"/>
              </w:rPr>
              <w:t xml:space="preserve">hat is expected during a normal </w:t>
            </w:r>
            <w:r w:rsidRPr="006B385F">
              <w:rPr>
                <w:rFonts w:ascii="Arial" w:hAnsi="Arial"/>
                <w:sz w:val="22"/>
                <w:szCs w:val="22"/>
              </w:rPr>
              <w:t>smoking cessation attempt.</w:t>
            </w:r>
            <w:r w:rsidR="007B157C">
              <w:rPr>
                <w:rFonts w:ascii="Arial" w:hAnsi="Arial"/>
                <w:sz w:val="22"/>
                <w:szCs w:val="22"/>
              </w:rPr>
              <w:t xml:space="preserve"> </w:t>
            </w:r>
            <w:r w:rsidRPr="006B385F">
              <w:rPr>
                <w:rFonts w:ascii="Arial" w:hAnsi="Arial"/>
                <w:sz w:val="22"/>
                <w:szCs w:val="22"/>
              </w:rPr>
              <w:t>Serious adverse reactions (e.g. a</w:t>
            </w:r>
            <w:r>
              <w:rPr>
                <w:rFonts w:ascii="Arial" w:hAnsi="Arial"/>
                <w:sz w:val="22"/>
                <w:szCs w:val="22"/>
              </w:rPr>
              <w:t xml:space="preserve">naphylaxis) to </w:t>
            </w:r>
            <w:proofErr w:type="spellStart"/>
            <w:r>
              <w:rPr>
                <w:rFonts w:ascii="Arial" w:hAnsi="Arial"/>
                <w:sz w:val="22"/>
                <w:szCs w:val="22"/>
              </w:rPr>
              <w:t>varenicline</w:t>
            </w:r>
            <w:proofErr w:type="spellEnd"/>
            <w:r>
              <w:rPr>
                <w:rFonts w:ascii="Arial" w:hAnsi="Arial"/>
                <w:sz w:val="22"/>
                <w:szCs w:val="22"/>
              </w:rPr>
              <w:t xml:space="preserve"> should be reported. </w:t>
            </w:r>
            <w:r w:rsidRPr="006B385F">
              <w:rPr>
                <w:rFonts w:ascii="Arial" w:hAnsi="Arial"/>
                <w:sz w:val="22"/>
                <w:szCs w:val="22"/>
              </w:rPr>
              <w:t>Should such a reaction occur the pharmacist must inform their</w:t>
            </w:r>
            <w:r>
              <w:rPr>
                <w:rFonts w:ascii="Arial" w:hAnsi="Arial"/>
                <w:sz w:val="22"/>
                <w:szCs w:val="22"/>
              </w:rPr>
              <w:t xml:space="preserve"> </w:t>
            </w:r>
            <w:r w:rsidRPr="006B385F">
              <w:rPr>
                <w:rFonts w:ascii="Arial" w:hAnsi="Arial"/>
                <w:sz w:val="22"/>
                <w:szCs w:val="22"/>
              </w:rPr>
              <w:t>line manager and the client’s GP and immediately complete an</w:t>
            </w:r>
            <w:r>
              <w:rPr>
                <w:rFonts w:ascii="Arial" w:hAnsi="Arial"/>
                <w:sz w:val="22"/>
                <w:szCs w:val="22"/>
              </w:rPr>
              <w:t xml:space="preserve"> </w:t>
            </w:r>
            <w:r w:rsidRPr="006B385F">
              <w:rPr>
                <w:rFonts w:ascii="Arial" w:hAnsi="Arial"/>
                <w:sz w:val="22"/>
                <w:szCs w:val="22"/>
              </w:rPr>
              <w:t xml:space="preserve">Incident </w:t>
            </w:r>
            <w:proofErr w:type="gramStart"/>
            <w:r w:rsidRPr="006B385F">
              <w:rPr>
                <w:rFonts w:ascii="Arial" w:hAnsi="Arial"/>
                <w:sz w:val="22"/>
                <w:szCs w:val="22"/>
              </w:rPr>
              <w:t>Form.</w:t>
            </w:r>
            <w:proofErr w:type="gramEnd"/>
            <w:r w:rsidRPr="006B385F">
              <w:rPr>
                <w:rFonts w:ascii="Arial" w:hAnsi="Arial"/>
                <w:sz w:val="22"/>
                <w:szCs w:val="22"/>
              </w:rPr>
              <w:t xml:space="preserve"> The incident should be reported to the Medicines</w:t>
            </w:r>
            <w:r>
              <w:rPr>
                <w:rFonts w:ascii="Arial" w:hAnsi="Arial"/>
                <w:sz w:val="22"/>
                <w:szCs w:val="22"/>
              </w:rPr>
              <w:t xml:space="preserve"> </w:t>
            </w:r>
            <w:r w:rsidRPr="006B385F">
              <w:rPr>
                <w:rFonts w:ascii="Arial" w:hAnsi="Arial"/>
                <w:sz w:val="22"/>
                <w:szCs w:val="22"/>
              </w:rPr>
              <w:t>and Healthcare Products Regulation Agency (MHRA) using the</w:t>
            </w:r>
          </w:p>
          <w:p w14:paraId="55606DC5" w14:textId="71F1B685" w:rsidR="003F5318" w:rsidRPr="00BB2BD7" w:rsidRDefault="003F5318" w:rsidP="003F5318">
            <w:pPr>
              <w:rPr>
                <w:rFonts w:ascii="Arial" w:hAnsi="Arial"/>
                <w:sz w:val="22"/>
                <w:szCs w:val="22"/>
              </w:rPr>
            </w:pPr>
            <w:r w:rsidRPr="006B385F">
              <w:rPr>
                <w:rFonts w:ascii="Arial" w:hAnsi="Arial"/>
                <w:sz w:val="22"/>
                <w:szCs w:val="22"/>
              </w:rPr>
              <w:t>Yellow Card System. Yellow Ca</w:t>
            </w:r>
            <w:r>
              <w:rPr>
                <w:rFonts w:ascii="Arial" w:hAnsi="Arial"/>
                <w:sz w:val="22"/>
                <w:szCs w:val="22"/>
              </w:rPr>
              <w:t xml:space="preserve">rds are available in the BNF as </w:t>
            </w:r>
            <w:r w:rsidRPr="006B385F">
              <w:rPr>
                <w:rFonts w:ascii="Arial" w:hAnsi="Arial"/>
                <w:sz w:val="22"/>
                <w:szCs w:val="22"/>
              </w:rPr>
              <w:t>well as online (www.yellowcard.mhra.gov.uk).</w:t>
            </w:r>
          </w:p>
        </w:tc>
      </w:tr>
      <w:tr w:rsidR="003F5318" w:rsidRPr="00BB2BD7" w14:paraId="24D2F8D1" w14:textId="77777777" w:rsidTr="004D105E">
        <w:tc>
          <w:tcPr>
            <w:tcW w:w="11194" w:type="dxa"/>
            <w:gridSpan w:val="6"/>
          </w:tcPr>
          <w:p w14:paraId="7634491A" w14:textId="77777777" w:rsidR="003F5318" w:rsidRDefault="003F5318" w:rsidP="003F5318">
            <w:pPr>
              <w:rPr>
                <w:rFonts w:ascii="Arial" w:hAnsi="Arial"/>
                <w:b/>
                <w:sz w:val="22"/>
                <w:szCs w:val="22"/>
              </w:rPr>
            </w:pPr>
            <w:r w:rsidRPr="000B569C">
              <w:rPr>
                <w:rFonts w:ascii="Arial" w:hAnsi="Arial"/>
                <w:b/>
                <w:sz w:val="22"/>
                <w:szCs w:val="22"/>
              </w:rPr>
              <w:t xml:space="preserve">Audit (Review procedure) </w:t>
            </w:r>
          </w:p>
          <w:p w14:paraId="4B700DEC" w14:textId="52186990" w:rsidR="003F5318" w:rsidRPr="000B569C" w:rsidRDefault="003F5318" w:rsidP="003F5318">
            <w:pPr>
              <w:rPr>
                <w:rFonts w:ascii="Arial" w:hAnsi="Arial"/>
                <w:sz w:val="22"/>
                <w:szCs w:val="22"/>
              </w:rPr>
            </w:pPr>
            <w:r w:rsidRPr="000B569C">
              <w:rPr>
                <w:rFonts w:ascii="Arial" w:hAnsi="Arial"/>
                <w:sz w:val="22"/>
                <w:szCs w:val="22"/>
              </w:rPr>
              <w:t>Co</w:t>
            </w:r>
            <w:r>
              <w:rPr>
                <w:rFonts w:ascii="Arial" w:hAnsi="Arial"/>
                <w:sz w:val="22"/>
                <w:szCs w:val="22"/>
              </w:rPr>
              <w:t xml:space="preserve">mpetency checks and audits will </w:t>
            </w:r>
            <w:r w:rsidRPr="000B569C">
              <w:rPr>
                <w:rFonts w:ascii="Arial" w:hAnsi="Arial"/>
                <w:sz w:val="22"/>
                <w:szCs w:val="22"/>
              </w:rPr>
              <w:t>be carried out at random intervals to ensure that every member of pharmacy staff delivering the Service is familiar and up to date with the procedure at all times. This SOP will be reviewed at least every 2 years or following any critical incident.</w:t>
            </w:r>
          </w:p>
        </w:tc>
      </w:tr>
    </w:tbl>
    <w:p w14:paraId="66D2646C" w14:textId="13255D62" w:rsidR="00951375" w:rsidRDefault="000B569C" w:rsidP="000B569C">
      <w:pPr>
        <w:spacing w:before="60"/>
        <w:rPr>
          <w:rFonts w:ascii="Arial" w:hAnsi="Arial"/>
        </w:rPr>
      </w:pPr>
      <w:r>
        <w:rPr>
          <w:rFonts w:ascii="Arial" w:hAnsi="Arial"/>
          <w:b/>
        </w:rPr>
        <w:lastRenderedPageBreak/>
        <w:t xml:space="preserve">Staff signature </w:t>
      </w:r>
      <w:r>
        <w:rPr>
          <w:rFonts w:ascii="Arial" w:hAnsi="Arial"/>
        </w:rPr>
        <w:t>(To be signed by all those working within the SOP (including locums)</w:t>
      </w:r>
    </w:p>
    <w:p w14:paraId="0AE520BB" w14:textId="08153186" w:rsidR="000B569C" w:rsidRDefault="000B569C" w:rsidP="000B569C">
      <w:pPr>
        <w:spacing w:before="60"/>
        <w:rPr>
          <w:rFonts w:ascii="Arial" w:hAnsi="Arial"/>
        </w:rPr>
      </w:pPr>
      <w:r>
        <w:rPr>
          <w:rFonts w:ascii="Arial" w:hAnsi="Arial"/>
        </w:rPr>
        <w:t>I have read and understood the implications of the SOP:</w:t>
      </w:r>
    </w:p>
    <w:tbl>
      <w:tblPr>
        <w:tblStyle w:val="TableGrid"/>
        <w:tblW w:w="0" w:type="auto"/>
        <w:tblLook w:val="04A0" w:firstRow="1" w:lastRow="0" w:firstColumn="1" w:lastColumn="0" w:noHBand="0" w:noVBand="1"/>
      </w:tblPr>
      <w:tblGrid>
        <w:gridCol w:w="2696"/>
        <w:gridCol w:w="2692"/>
        <w:gridCol w:w="2711"/>
        <w:gridCol w:w="2693"/>
      </w:tblGrid>
      <w:tr w:rsidR="000B569C" w14:paraId="07441399" w14:textId="77777777" w:rsidTr="000B569C">
        <w:tc>
          <w:tcPr>
            <w:tcW w:w="2754" w:type="dxa"/>
          </w:tcPr>
          <w:p w14:paraId="6ECB798E" w14:textId="480E27F3" w:rsidR="000B569C" w:rsidRPr="000B569C" w:rsidRDefault="000B569C" w:rsidP="000B569C">
            <w:pPr>
              <w:spacing w:before="60"/>
              <w:rPr>
                <w:rFonts w:ascii="Arial" w:hAnsi="Arial"/>
                <w:b/>
              </w:rPr>
            </w:pPr>
            <w:r>
              <w:rPr>
                <w:rFonts w:ascii="Arial" w:hAnsi="Arial"/>
                <w:b/>
              </w:rPr>
              <w:t>Name</w:t>
            </w:r>
          </w:p>
        </w:tc>
        <w:tc>
          <w:tcPr>
            <w:tcW w:w="2754" w:type="dxa"/>
          </w:tcPr>
          <w:p w14:paraId="0F033633" w14:textId="621F76FB" w:rsidR="000B569C" w:rsidRPr="000B569C" w:rsidRDefault="000B569C" w:rsidP="000B569C">
            <w:pPr>
              <w:spacing w:before="60"/>
              <w:rPr>
                <w:rFonts w:ascii="Arial" w:hAnsi="Arial"/>
                <w:b/>
              </w:rPr>
            </w:pPr>
            <w:r>
              <w:rPr>
                <w:rFonts w:ascii="Arial" w:hAnsi="Arial"/>
                <w:b/>
              </w:rPr>
              <w:t>Job Role</w:t>
            </w:r>
          </w:p>
        </w:tc>
        <w:tc>
          <w:tcPr>
            <w:tcW w:w="2755" w:type="dxa"/>
          </w:tcPr>
          <w:p w14:paraId="0942EE84" w14:textId="6C2475FD" w:rsidR="000B569C" w:rsidRPr="000B569C" w:rsidRDefault="000B569C" w:rsidP="000B569C">
            <w:pPr>
              <w:spacing w:before="60"/>
              <w:rPr>
                <w:rFonts w:ascii="Arial" w:hAnsi="Arial"/>
                <w:b/>
              </w:rPr>
            </w:pPr>
            <w:r>
              <w:rPr>
                <w:rFonts w:ascii="Arial" w:hAnsi="Arial"/>
                <w:b/>
              </w:rPr>
              <w:t>Signature</w:t>
            </w:r>
          </w:p>
        </w:tc>
        <w:tc>
          <w:tcPr>
            <w:tcW w:w="2755" w:type="dxa"/>
          </w:tcPr>
          <w:p w14:paraId="67C4E2F7" w14:textId="4DCF5FF3" w:rsidR="000B569C" w:rsidRPr="000B569C" w:rsidRDefault="000B569C" w:rsidP="000B569C">
            <w:pPr>
              <w:spacing w:before="60"/>
              <w:rPr>
                <w:rFonts w:ascii="Arial" w:hAnsi="Arial"/>
                <w:b/>
              </w:rPr>
            </w:pPr>
            <w:r>
              <w:rPr>
                <w:rFonts w:ascii="Arial" w:hAnsi="Arial"/>
                <w:b/>
              </w:rPr>
              <w:t>Date</w:t>
            </w:r>
          </w:p>
        </w:tc>
      </w:tr>
      <w:tr w:rsidR="000B569C" w14:paraId="1DB91E2E" w14:textId="77777777" w:rsidTr="000B569C">
        <w:tc>
          <w:tcPr>
            <w:tcW w:w="2754" w:type="dxa"/>
          </w:tcPr>
          <w:p w14:paraId="59B07D57" w14:textId="77777777" w:rsidR="000B569C" w:rsidRDefault="000B569C" w:rsidP="000B569C">
            <w:pPr>
              <w:spacing w:before="60"/>
              <w:rPr>
                <w:rFonts w:ascii="Arial" w:hAnsi="Arial"/>
              </w:rPr>
            </w:pPr>
          </w:p>
        </w:tc>
        <w:tc>
          <w:tcPr>
            <w:tcW w:w="2754" w:type="dxa"/>
          </w:tcPr>
          <w:p w14:paraId="62C56B9D" w14:textId="77777777" w:rsidR="000B569C" w:rsidRDefault="000B569C" w:rsidP="000B569C">
            <w:pPr>
              <w:spacing w:before="60"/>
              <w:rPr>
                <w:rFonts w:ascii="Arial" w:hAnsi="Arial"/>
              </w:rPr>
            </w:pPr>
          </w:p>
        </w:tc>
        <w:tc>
          <w:tcPr>
            <w:tcW w:w="2755" w:type="dxa"/>
          </w:tcPr>
          <w:p w14:paraId="4ABE4D49" w14:textId="77777777" w:rsidR="000B569C" w:rsidRDefault="000B569C" w:rsidP="000B569C">
            <w:pPr>
              <w:spacing w:before="60"/>
              <w:rPr>
                <w:rFonts w:ascii="Arial" w:hAnsi="Arial"/>
              </w:rPr>
            </w:pPr>
          </w:p>
        </w:tc>
        <w:tc>
          <w:tcPr>
            <w:tcW w:w="2755" w:type="dxa"/>
          </w:tcPr>
          <w:p w14:paraId="01A7CEE7" w14:textId="77777777" w:rsidR="000B569C" w:rsidRDefault="000B569C" w:rsidP="000B569C">
            <w:pPr>
              <w:spacing w:before="60"/>
              <w:rPr>
                <w:rFonts w:ascii="Arial" w:hAnsi="Arial"/>
              </w:rPr>
            </w:pPr>
          </w:p>
        </w:tc>
      </w:tr>
      <w:tr w:rsidR="000B569C" w14:paraId="00565633" w14:textId="77777777" w:rsidTr="000B569C">
        <w:tc>
          <w:tcPr>
            <w:tcW w:w="2754" w:type="dxa"/>
          </w:tcPr>
          <w:p w14:paraId="61C78F45" w14:textId="77777777" w:rsidR="000B569C" w:rsidRDefault="000B569C" w:rsidP="000B569C">
            <w:pPr>
              <w:spacing w:before="60"/>
              <w:rPr>
                <w:rFonts w:ascii="Arial" w:hAnsi="Arial"/>
              </w:rPr>
            </w:pPr>
          </w:p>
        </w:tc>
        <w:tc>
          <w:tcPr>
            <w:tcW w:w="2754" w:type="dxa"/>
          </w:tcPr>
          <w:p w14:paraId="3FD03720" w14:textId="77777777" w:rsidR="000B569C" w:rsidRDefault="000B569C" w:rsidP="000B569C">
            <w:pPr>
              <w:spacing w:before="60"/>
              <w:rPr>
                <w:rFonts w:ascii="Arial" w:hAnsi="Arial"/>
              </w:rPr>
            </w:pPr>
          </w:p>
        </w:tc>
        <w:tc>
          <w:tcPr>
            <w:tcW w:w="2755" w:type="dxa"/>
          </w:tcPr>
          <w:p w14:paraId="31DF9BBF" w14:textId="77777777" w:rsidR="000B569C" w:rsidRDefault="000B569C" w:rsidP="000B569C">
            <w:pPr>
              <w:spacing w:before="60"/>
              <w:rPr>
                <w:rFonts w:ascii="Arial" w:hAnsi="Arial"/>
              </w:rPr>
            </w:pPr>
          </w:p>
        </w:tc>
        <w:tc>
          <w:tcPr>
            <w:tcW w:w="2755" w:type="dxa"/>
          </w:tcPr>
          <w:p w14:paraId="6A66AF0C" w14:textId="77777777" w:rsidR="000B569C" w:rsidRDefault="000B569C" w:rsidP="000B569C">
            <w:pPr>
              <w:spacing w:before="60"/>
              <w:rPr>
                <w:rFonts w:ascii="Arial" w:hAnsi="Arial"/>
              </w:rPr>
            </w:pPr>
          </w:p>
        </w:tc>
      </w:tr>
      <w:tr w:rsidR="000B569C" w14:paraId="6C787BCD" w14:textId="77777777" w:rsidTr="000B569C">
        <w:tc>
          <w:tcPr>
            <w:tcW w:w="2754" w:type="dxa"/>
          </w:tcPr>
          <w:p w14:paraId="0B359927" w14:textId="77777777" w:rsidR="000B569C" w:rsidRDefault="000B569C" w:rsidP="000B569C">
            <w:pPr>
              <w:spacing w:before="60"/>
              <w:rPr>
                <w:rFonts w:ascii="Arial" w:hAnsi="Arial"/>
              </w:rPr>
            </w:pPr>
          </w:p>
        </w:tc>
        <w:tc>
          <w:tcPr>
            <w:tcW w:w="2754" w:type="dxa"/>
          </w:tcPr>
          <w:p w14:paraId="2241309B" w14:textId="77777777" w:rsidR="000B569C" w:rsidRDefault="000B569C" w:rsidP="000B569C">
            <w:pPr>
              <w:spacing w:before="60"/>
              <w:rPr>
                <w:rFonts w:ascii="Arial" w:hAnsi="Arial"/>
              </w:rPr>
            </w:pPr>
          </w:p>
        </w:tc>
        <w:tc>
          <w:tcPr>
            <w:tcW w:w="2755" w:type="dxa"/>
          </w:tcPr>
          <w:p w14:paraId="39F27E72" w14:textId="77777777" w:rsidR="000B569C" w:rsidRDefault="000B569C" w:rsidP="000B569C">
            <w:pPr>
              <w:spacing w:before="60"/>
              <w:rPr>
                <w:rFonts w:ascii="Arial" w:hAnsi="Arial"/>
              </w:rPr>
            </w:pPr>
          </w:p>
        </w:tc>
        <w:tc>
          <w:tcPr>
            <w:tcW w:w="2755" w:type="dxa"/>
          </w:tcPr>
          <w:p w14:paraId="26E9A555" w14:textId="77777777" w:rsidR="000B569C" w:rsidRDefault="000B569C" w:rsidP="000B569C">
            <w:pPr>
              <w:spacing w:before="60"/>
              <w:rPr>
                <w:rFonts w:ascii="Arial" w:hAnsi="Arial"/>
              </w:rPr>
            </w:pPr>
          </w:p>
        </w:tc>
      </w:tr>
    </w:tbl>
    <w:p w14:paraId="798B18CF" w14:textId="4ADAD84A" w:rsidR="0016492A" w:rsidRPr="000E7743" w:rsidRDefault="0016492A" w:rsidP="00A21340">
      <w:pPr>
        <w:rPr>
          <w:rFonts w:ascii="Arial" w:hAnsi="Arial"/>
          <w:b/>
          <w:color w:val="000000"/>
        </w:rPr>
      </w:pPr>
    </w:p>
    <w:sectPr w:rsidR="0016492A" w:rsidRPr="000E7743" w:rsidSect="007B157C">
      <w:footerReference w:type="even" r:id="rId11"/>
      <w:footerReference w:type="default" r:id="rId12"/>
      <w:pgSz w:w="12242" w:h="15842" w:code="1"/>
      <w:pgMar w:top="720" w:right="720" w:bottom="426" w:left="720"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B42A" w14:textId="77777777" w:rsidR="00A12253" w:rsidRDefault="00A12253">
      <w:r>
        <w:separator/>
      </w:r>
    </w:p>
  </w:endnote>
  <w:endnote w:type="continuationSeparator" w:id="0">
    <w:p w14:paraId="5F6D642E" w14:textId="77777777" w:rsidR="00A12253" w:rsidRDefault="00A1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D82B" w14:textId="77777777" w:rsidR="00A12253" w:rsidRDefault="00A12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6AF88" w14:textId="77777777" w:rsidR="00A12253" w:rsidRDefault="00A122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37141"/>
      <w:docPartObj>
        <w:docPartGallery w:val="Page Numbers (Bottom of Page)"/>
        <w:docPartUnique/>
      </w:docPartObj>
    </w:sdtPr>
    <w:sdtEndPr>
      <w:rPr>
        <w:noProof/>
      </w:rPr>
    </w:sdtEndPr>
    <w:sdtContent>
      <w:p w14:paraId="763AE366" w14:textId="2FE096ED" w:rsidR="00A12253" w:rsidRDefault="00A12253" w:rsidP="00BB2BD7">
        <w:pPr>
          <w:pStyle w:val="Footer"/>
          <w:jc w:val="center"/>
        </w:pPr>
        <w:r>
          <w:fldChar w:fldCharType="begin"/>
        </w:r>
        <w:r>
          <w:instrText xml:space="preserve"> PAGE   \* MERGEFORMAT </w:instrText>
        </w:r>
        <w:r>
          <w:fldChar w:fldCharType="separate"/>
        </w:r>
        <w:r w:rsidR="003E32F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F230" w14:textId="77777777" w:rsidR="00A12253" w:rsidRDefault="00A12253">
      <w:r>
        <w:separator/>
      </w:r>
    </w:p>
  </w:footnote>
  <w:footnote w:type="continuationSeparator" w:id="0">
    <w:p w14:paraId="19F70FC2" w14:textId="77777777" w:rsidR="00A12253" w:rsidRDefault="00A12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B00"/>
    <w:multiLevelType w:val="hybridMultilevel"/>
    <w:tmpl w:val="260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A88"/>
    <w:multiLevelType w:val="hybridMultilevel"/>
    <w:tmpl w:val="510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535F"/>
    <w:multiLevelType w:val="hybridMultilevel"/>
    <w:tmpl w:val="0414E09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0AE367EC"/>
    <w:multiLevelType w:val="hybridMultilevel"/>
    <w:tmpl w:val="44EC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13D"/>
    <w:multiLevelType w:val="hybridMultilevel"/>
    <w:tmpl w:val="4300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3667"/>
    <w:multiLevelType w:val="hybridMultilevel"/>
    <w:tmpl w:val="A82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0C69"/>
    <w:multiLevelType w:val="multilevel"/>
    <w:tmpl w:val="1F9A9AE8"/>
    <w:lvl w:ilvl="0">
      <w:start w:val="4"/>
      <w:numFmt w:val="decimal"/>
      <w:pStyle w:val="Heading3"/>
      <w:lvlText w:val="%1"/>
      <w:lvlJc w:val="left"/>
      <w:pPr>
        <w:tabs>
          <w:tab w:val="num" w:pos="420"/>
        </w:tabs>
        <w:ind w:left="420" w:hanging="420"/>
      </w:pPr>
    </w:lvl>
    <w:lvl w:ilvl="1">
      <w:start w:val="1"/>
      <w:numFmt w:val="decimal"/>
      <w:lvlText w:val="%1.%2"/>
      <w:lvlJc w:val="left"/>
      <w:pPr>
        <w:tabs>
          <w:tab w:val="num" w:pos="1080"/>
        </w:tabs>
        <w:ind w:left="1080" w:hanging="420"/>
      </w:pPr>
    </w:lvl>
    <w:lvl w:ilvl="2">
      <w:start w:val="1"/>
      <w:numFmt w:val="decimal"/>
      <w:lvlText w:val="%1.%2.%3"/>
      <w:lvlJc w:val="left"/>
      <w:pPr>
        <w:tabs>
          <w:tab w:val="num" w:pos="2040"/>
        </w:tabs>
        <w:ind w:left="2040" w:hanging="720"/>
      </w:pPr>
    </w:lvl>
    <w:lvl w:ilvl="3">
      <w:start w:val="1"/>
      <w:numFmt w:val="decimal"/>
      <w:lvlText w:val="%1.%2.%3.%4"/>
      <w:lvlJc w:val="left"/>
      <w:pPr>
        <w:tabs>
          <w:tab w:val="num" w:pos="2700"/>
        </w:tabs>
        <w:ind w:left="2700" w:hanging="720"/>
      </w:pPr>
    </w:lvl>
    <w:lvl w:ilvl="4">
      <w:start w:val="1"/>
      <w:numFmt w:val="decimal"/>
      <w:lvlText w:val="%1.%2.%3.%4.%5"/>
      <w:lvlJc w:val="left"/>
      <w:pPr>
        <w:tabs>
          <w:tab w:val="num" w:pos="3720"/>
        </w:tabs>
        <w:ind w:left="3720" w:hanging="1080"/>
      </w:pPr>
    </w:lvl>
    <w:lvl w:ilvl="5">
      <w:start w:val="1"/>
      <w:numFmt w:val="decimal"/>
      <w:lvlText w:val="%1.%2.%3.%4.%5.%6"/>
      <w:lvlJc w:val="left"/>
      <w:pPr>
        <w:tabs>
          <w:tab w:val="num" w:pos="4380"/>
        </w:tabs>
        <w:ind w:left="4380" w:hanging="108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060"/>
        </w:tabs>
        <w:ind w:left="6060" w:hanging="1440"/>
      </w:pPr>
    </w:lvl>
    <w:lvl w:ilvl="8">
      <w:start w:val="1"/>
      <w:numFmt w:val="decimal"/>
      <w:lvlText w:val="%1.%2.%3.%4.%5.%6.%7.%8.%9"/>
      <w:lvlJc w:val="left"/>
      <w:pPr>
        <w:tabs>
          <w:tab w:val="num" w:pos="7080"/>
        </w:tabs>
        <w:ind w:left="7080" w:hanging="1800"/>
      </w:pPr>
    </w:lvl>
  </w:abstractNum>
  <w:abstractNum w:abstractNumId="7" w15:restartNumberingAfterBreak="0">
    <w:nsid w:val="1A13051F"/>
    <w:multiLevelType w:val="hybridMultilevel"/>
    <w:tmpl w:val="5D2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712D3"/>
    <w:multiLevelType w:val="hybridMultilevel"/>
    <w:tmpl w:val="D5DA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6C58"/>
    <w:multiLevelType w:val="hybridMultilevel"/>
    <w:tmpl w:val="8C7C00E8"/>
    <w:lvl w:ilvl="0" w:tplc="8E7A78D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85F9A"/>
    <w:multiLevelType w:val="hybridMultilevel"/>
    <w:tmpl w:val="B48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8248E"/>
    <w:multiLevelType w:val="hybridMultilevel"/>
    <w:tmpl w:val="46E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D5291"/>
    <w:multiLevelType w:val="hybridMultilevel"/>
    <w:tmpl w:val="76E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35454"/>
    <w:multiLevelType w:val="hybridMultilevel"/>
    <w:tmpl w:val="C4B86E5C"/>
    <w:lvl w:ilvl="0" w:tplc="312E2E1C">
      <w:start w:val="1"/>
      <w:numFmt w:val="decimal"/>
      <w:lvlText w:val="%1."/>
      <w:lvlJc w:val="left"/>
      <w:pPr>
        <w:ind w:left="8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34967"/>
    <w:multiLevelType w:val="hybridMultilevel"/>
    <w:tmpl w:val="83E6A538"/>
    <w:lvl w:ilvl="0" w:tplc="D3945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473C"/>
    <w:multiLevelType w:val="hybridMultilevel"/>
    <w:tmpl w:val="A87651EA"/>
    <w:lvl w:ilvl="0" w:tplc="8E7A78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73D1D"/>
    <w:multiLevelType w:val="hybridMultilevel"/>
    <w:tmpl w:val="6B3E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A755E"/>
    <w:multiLevelType w:val="hybridMultilevel"/>
    <w:tmpl w:val="CE56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C7385"/>
    <w:multiLevelType w:val="hybridMultilevel"/>
    <w:tmpl w:val="FD4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15E19"/>
    <w:multiLevelType w:val="hybridMultilevel"/>
    <w:tmpl w:val="6BDA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A2A14"/>
    <w:multiLevelType w:val="hybridMultilevel"/>
    <w:tmpl w:val="E04094E6"/>
    <w:lvl w:ilvl="0" w:tplc="8E7A78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74BA0"/>
    <w:multiLevelType w:val="hybridMultilevel"/>
    <w:tmpl w:val="0F06D18A"/>
    <w:lvl w:ilvl="0" w:tplc="D3945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A6186"/>
    <w:multiLevelType w:val="hybridMultilevel"/>
    <w:tmpl w:val="4228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0223E"/>
    <w:multiLevelType w:val="hybridMultilevel"/>
    <w:tmpl w:val="A1B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85A3A"/>
    <w:multiLevelType w:val="hybridMultilevel"/>
    <w:tmpl w:val="C2CA5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84B66"/>
    <w:multiLevelType w:val="hybridMultilevel"/>
    <w:tmpl w:val="8D8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4067D"/>
    <w:multiLevelType w:val="hybridMultilevel"/>
    <w:tmpl w:val="51A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E11EC"/>
    <w:multiLevelType w:val="hybridMultilevel"/>
    <w:tmpl w:val="A87651EA"/>
    <w:lvl w:ilvl="0" w:tplc="8E7A78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75126"/>
    <w:multiLevelType w:val="hybridMultilevel"/>
    <w:tmpl w:val="CC60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17DD"/>
    <w:multiLevelType w:val="hybridMultilevel"/>
    <w:tmpl w:val="971693C6"/>
    <w:lvl w:ilvl="0" w:tplc="8E7A78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9799D"/>
    <w:multiLevelType w:val="hybridMultilevel"/>
    <w:tmpl w:val="7C7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40CD4"/>
    <w:multiLevelType w:val="hybridMultilevel"/>
    <w:tmpl w:val="C7E4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4374D"/>
    <w:multiLevelType w:val="hybridMultilevel"/>
    <w:tmpl w:val="9C40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4"/>
  </w:num>
  <w:num w:numId="5">
    <w:abstractNumId w:val="28"/>
  </w:num>
  <w:num w:numId="6">
    <w:abstractNumId w:val="23"/>
  </w:num>
  <w:num w:numId="7">
    <w:abstractNumId w:val="22"/>
  </w:num>
  <w:num w:numId="8">
    <w:abstractNumId w:val="30"/>
  </w:num>
  <w:num w:numId="9">
    <w:abstractNumId w:val="0"/>
  </w:num>
  <w:num w:numId="10">
    <w:abstractNumId w:val="2"/>
  </w:num>
  <w:num w:numId="11">
    <w:abstractNumId w:val="17"/>
  </w:num>
  <w:num w:numId="12">
    <w:abstractNumId w:val="29"/>
  </w:num>
  <w:num w:numId="13">
    <w:abstractNumId w:val="8"/>
  </w:num>
  <w:num w:numId="14">
    <w:abstractNumId w:val="9"/>
  </w:num>
  <w:num w:numId="15">
    <w:abstractNumId w:val="1"/>
  </w:num>
  <w:num w:numId="16">
    <w:abstractNumId w:val="19"/>
  </w:num>
  <w:num w:numId="17">
    <w:abstractNumId w:val="31"/>
  </w:num>
  <w:num w:numId="18">
    <w:abstractNumId w:val="26"/>
  </w:num>
  <w:num w:numId="19">
    <w:abstractNumId w:val="27"/>
  </w:num>
  <w:num w:numId="20">
    <w:abstractNumId w:val="15"/>
  </w:num>
  <w:num w:numId="21">
    <w:abstractNumId w:val="20"/>
  </w:num>
  <w:num w:numId="22">
    <w:abstractNumId w:val="5"/>
  </w:num>
  <w:num w:numId="23">
    <w:abstractNumId w:val="11"/>
  </w:num>
  <w:num w:numId="24">
    <w:abstractNumId w:val="13"/>
  </w:num>
  <w:num w:numId="25">
    <w:abstractNumId w:val="24"/>
  </w:num>
  <w:num w:numId="26">
    <w:abstractNumId w:val="18"/>
  </w:num>
  <w:num w:numId="27">
    <w:abstractNumId w:val="21"/>
  </w:num>
  <w:num w:numId="28">
    <w:abstractNumId w:val="14"/>
  </w:num>
  <w:num w:numId="29">
    <w:abstractNumId w:val="3"/>
  </w:num>
  <w:num w:numId="30">
    <w:abstractNumId w:val="12"/>
  </w:num>
  <w:num w:numId="31">
    <w:abstractNumId w:val="7"/>
  </w:num>
  <w:num w:numId="32">
    <w:abstractNumId w:val="25"/>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F9"/>
    <w:rsid w:val="0000202B"/>
    <w:rsid w:val="00003712"/>
    <w:rsid w:val="00003E86"/>
    <w:rsid w:val="00006186"/>
    <w:rsid w:val="0001436E"/>
    <w:rsid w:val="00017D65"/>
    <w:rsid w:val="0002140C"/>
    <w:rsid w:val="00031FEF"/>
    <w:rsid w:val="00034564"/>
    <w:rsid w:val="00035431"/>
    <w:rsid w:val="00036BBA"/>
    <w:rsid w:val="00040611"/>
    <w:rsid w:val="00041B15"/>
    <w:rsid w:val="000517A2"/>
    <w:rsid w:val="00054FB0"/>
    <w:rsid w:val="00055ACE"/>
    <w:rsid w:val="0006137C"/>
    <w:rsid w:val="0006503C"/>
    <w:rsid w:val="00065056"/>
    <w:rsid w:val="0006574C"/>
    <w:rsid w:val="00071B71"/>
    <w:rsid w:val="00073CDD"/>
    <w:rsid w:val="00080730"/>
    <w:rsid w:val="00081D3D"/>
    <w:rsid w:val="00081F24"/>
    <w:rsid w:val="0008504C"/>
    <w:rsid w:val="0008513B"/>
    <w:rsid w:val="000910A6"/>
    <w:rsid w:val="000932F7"/>
    <w:rsid w:val="00094EF7"/>
    <w:rsid w:val="000A5D26"/>
    <w:rsid w:val="000A7846"/>
    <w:rsid w:val="000B129D"/>
    <w:rsid w:val="000B26CC"/>
    <w:rsid w:val="000B4E1E"/>
    <w:rsid w:val="000B569C"/>
    <w:rsid w:val="000C06B0"/>
    <w:rsid w:val="000C57B4"/>
    <w:rsid w:val="000C7DAD"/>
    <w:rsid w:val="000D55F4"/>
    <w:rsid w:val="000D699C"/>
    <w:rsid w:val="000D7F20"/>
    <w:rsid w:val="000E0514"/>
    <w:rsid w:val="000E7743"/>
    <w:rsid w:val="000F555C"/>
    <w:rsid w:val="001133C2"/>
    <w:rsid w:val="001142A0"/>
    <w:rsid w:val="0012256E"/>
    <w:rsid w:val="00136F15"/>
    <w:rsid w:val="0013722C"/>
    <w:rsid w:val="0014102A"/>
    <w:rsid w:val="001413EE"/>
    <w:rsid w:val="00150D11"/>
    <w:rsid w:val="00154EB8"/>
    <w:rsid w:val="00156BD4"/>
    <w:rsid w:val="00160FE1"/>
    <w:rsid w:val="00164492"/>
    <w:rsid w:val="0016492A"/>
    <w:rsid w:val="00165A35"/>
    <w:rsid w:val="00166BF4"/>
    <w:rsid w:val="001715A6"/>
    <w:rsid w:val="0017788E"/>
    <w:rsid w:val="00181C8F"/>
    <w:rsid w:val="001823B2"/>
    <w:rsid w:val="00184235"/>
    <w:rsid w:val="001851AE"/>
    <w:rsid w:val="001904E7"/>
    <w:rsid w:val="001A0561"/>
    <w:rsid w:val="001A0D80"/>
    <w:rsid w:val="001A16A4"/>
    <w:rsid w:val="001C14A2"/>
    <w:rsid w:val="001C214E"/>
    <w:rsid w:val="001C58E3"/>
    <w:rsid w:val="001C6C14"/>
    <w:rsid w:val="001D1B2C"/>
    <w:rsid w:val="001D1FA5"/>
    <w:rsid w:val="001E1D67"/>
    <w:rsid w:val="001F1BFE"/>
    <w:rsid w:val="001F2F7D"/>
    <w:rsid w:val="00203258"/>
    <w:rsid w:val="00214C4D"/>
    <w:rsid w:val="002155DB"/>
    <w:rsid w:val="00226868"/>
    <w:rsid w:val="00231279"/>
    <w:rsid w:val="00233676"/>
    <w:rsid w:val="002364C7"/>
    <w:rsid w:val="00241144"/>
    <w:rsid w:val="00242867"/>
    <w:rsid w:val="002453F4"/>
    <w:rsid w:val="0024567B"/>
    <w:rsid w:val="0025174B"/>
    <w:rsid w:val="00252BF6"/>
    <w:rsid w:val="002552BC"/>
    <w:rsid w:val="00257965"/>
    <w:rsid w:val="00262877"/>
    <w:rsid w:val="002633FA"/>
    <w:rsid w:val="0026437B"/>
    <w:rsid w:val="00267B74"/>
    <w:rsid w:val="00280499"/>
    <w:rsid w:val="00282FAD"/>
    <w:rsid w:val="00283091"/>
    <w:rsid w:val="00286813"/>
    <w:rsid w:val="0029235D"/>
    <w:rsid w:val="00294B62"/>
    <w:rsid w:val="002A0173"/>
    <w:rsid w:val="002A176E"/>
    <w:rsid w:val="002A685F"/>
    <w:rsid w:val="002B41AF"/>
    <w:rsid w:val="002B44D0"/>
    <w:rsid w:val="002B65DC"/>
    <w:rsid w:val="002B7026"/>
    <w:rsid w:val="002C21A2"/>
    <w:rsid w:val="002C5CE1"/>
    <w:rsid w:val="002C7919"/>
    <w:rsid w:val="002D5FD5"/>
    <w:rsid w:val="002E1E3D"/>
    <w:rsid w:val="002F1FB4"/>
    <w:rsid w:val="002F3D09"/>
    <w:rsid w:val="002F49BF"/>
    <w:rsid w:val="002F5734"/>
    <w:rsid w:val="003012BF"/>
    <w:rsid w:val="0030736E"/>
    <w:rsid w:val="0030785A"/>
    <w:rsid w:val="00310DFD"/>
    <w:rsid w:val="003119A9"/>
    <w:rsid w:val="00314F8A"/>
    <w:rsid w:val="003273C2"/>
    <w:rsid w:val="0032770A"/>
    <w:rsid w:val="00331FC9"/>
    <w:rsid w:val="003335AC"/>
    <w:rsid w:val="003464BB"/>
    <w:rsid w:val="0035200C"/>
    <w:rsid w:val="003525A0"/>
    <w:rsid w:val="00366790"/>
    <w:rsid w:val="00370361"/>
    <w:rsid w:val="00372D79"/>
    <w:rsid w:val="00373051"/>
    <w:rsid w:val="00374D92"/>
    <w:rsid w:val="00381258"/>
    <w:rsid w:val="003859A8"/>
    <w:rsid w:val="003A108E"/>
    <w:rsid w:val="003A2B7A"/>
    <w:rsid w:val="003D16A5"/>
    <w:rsid w:val="003D1F74"/>
    <w:rsid w:val="003D5E71"/>
    <w:rsid w:val="003E32F5"/>
    <w:rsid w:val="003E5A0B"/>
    <w:rsid w:val="003E5A4F"/>
    <w:rsid w:val="003F151E"/>
    <w:rsid w:val="003F21B7"/>
    <w:rsid w:val="003F5318"/>
    <w:rsid w:val="003F5CE2"/>
    <w:rsid w:val="003F6AA0"/>
    <w:rsid w:val="0040094F"/>
    <w:rsid w:val="004029B5"/>
    <w:rsid w:val="00410018"/>
    <w:rsid w:val="00412147"/>
    <w:rsid w:val="0041716A"/>
    <w:rsid w:val="00421A18"/>
    <w:rsid w:val="004229ED"/>
    <w:rsid w:val="00422E59"/>
    <w:rsid w:val="00423303"/>
    <w:rsid w:val="004259A9"/>
    <w:rsid w:val="00426968"/>
    <w:rsid w:val="00427969"/>
    <w:rsid w:val="004309F5"/>
    <w:rsid w:val="004316F2"/>
    <w:rsid w:val="004343C2"/>
    <w:rsid w:val="0043485F"/>
    <w:rsid w:val="0043507D"/>
    <w:rsid w:val="00445264"/>
    <w:rsid w:val="004466DC"/>
    <w:rsid w:val="00446F17"/>
    <w:rsid w:val="00451CB7"/>
    <w:rsid w:val="00454F20"/>
    <w:rsid w:val="00455280"/>
    <w:rsid w:val="00460DFF"/>
    <w:rsid w:val="004618D8"/>
    <w:rsid w:val="004618E6"/>
    <w:rsid w:val="00462DC5"/>
    <w:rsid w:val="0046613D"/>
    <w:rsid w:val="00470182"/>
    <w:rsid w:val="00474964"/>
    <w:rsid w:val="004805B0"/>
    <w:rsid w:val="0048266C"/>
    <w:rsid w:val="004850F0"/>
    <w:rsid w:val="00490AB1"/>
    <w:rsid w:val="004B00D6"/>
    <w:rsid w:val="004B1826"/>
    <w:rsid w:val="004B5999"/>
    <w:rsid w:val="004C0CB1"/>
    <w:rsid w:val="004C250A"/>
    <w:rsid w:val="004C3080"/>
    <w:rsid w:val="004D0206"/>
    <w:rsid w:val="004D105E"/>
    <w:rsid w:val="004D3935"/>
    <w:rsid w:val="004D609F"/>
    <w:rsid w:val="004E3A2E"/>
    <w:rsid w:val="004F209B"/>
    <w:rsid w:val="004F443D"/>
    <w:rsid w:val="00503BE2"/>
    <w:rsid w:val="00504368"/>
    <w:rsid w:val="00506FEC"/>
    <w:rsid w:val="00510ED9"/>
    <w:rsid w:val="00512783"/>
    <w:rsid w:val="00513129"/>
    <w:rsid w:val="005139AC"/>
    <w:rsid w:val="0052347D"/>
    <w:rsid w:val="00523CD6"/>
    <w:rsid w:val="0052738A"/>
    <w:rsid w:val="005302BD"/>
    <w:rsid w:val="00536CBA"/>
    <w:rsid w:val="0054277A"/>
    <w:rsid w:val="00553624"/>
    <w:rsid w:val="0056134D"/>
    <w:rsid w:val="005635EF"/>
    <w:rsid w:val="005674BD"/>
    <w:rsid w:val="0057050D"/>
    <w:rsid w:val="00571D8B"/>
    <w:rsid w:val="00572F52"/>
    <w:rsid w:val="005824A7"/>
    <w:rsid w:val="00584241"/>
    <w:rsid w:val="00585578"/>
    <w:rsid w:val="00586BC8"/>
    <w:rsid w:val="00591790"/>
    <w:rsid w:val="0059294B"/>
    <w:rsid w:val="00596609"/>
    <w:rsid w:val="00596AEA"/>
    <w:rsid w:val="005A3AB3"/>
    <w:rsid w:val="005A43B1"/>
    <w:rsid w:val="005B0838"/>
    <w:rsid w:val="005B2959"/>
    <w:rsid w:val="005B2FF2"/>
    <w:rsid w:val="005B67E3"/>
    <w:rsid w:val="005C668C"/>
    <w:rsid w:val="005C7C1E"/>
    <w:rsid w:val="005D0713"/>
    <w:rsid w:val="005D0AD4"/>
    <w:rsid w:val="005D24FC"/>
    <w:rsid w:val="005E30FE"/>
    <w:rsid w:val="005E5FC9"/>
    <w:rsid w:val="005F11E3"/>
    <w:rsid w:val="006015A0"/>
    <w:rsid w:val="00610E0F"/>
    <w:rsid w:val="00612328"/>
    <w:rsid w:val="006125F7"/>
    <w:rsid w:val="00615F8B"/>
    <w:rsid w:val="0061660A"/>
    <w:rsid w:val="00616E84"/>
    <w:rsid w:val="00616EA9"/>
    <w:rsid w:val="00617BE4"/>
    <w:rsid w:val="00620044"/>
    <w:rsid w:val="00620BD1"/>
    <w:rsid w:val="00621263"/>
    <w:rsid w:val="00622D1B"/>
    <w:rsid w:val="00622EB0"/>
    <w:rsid w:val="00624F44"/>
    <w:rsid w:val="006300E8"/>
    <w:rsid w:val="0063060E"/>
    <w:rsid w:val="0063505D"/>
    <w:rsid w:val="00641AC4"/>
    <w:rsid w:val="00644ACA"/>
    <w:rsid w:val="006461F5"/>
    <w:rsid w:val="0064666B"/>
    <w:rsid w:val="006478D4"/>
    <w:rsid w:val="00655633"/>
    <w:rsid w:val="00655778"/>
    <w:rsid w:val="00655DAD"/>
    <w:rsid w:val="00656F23"/>
    <w:rsid w:val="006606B3"/>
    <w:rsid w:val="00663E54"/>
    <w:rsid w:val="0066498B"/>
    <w:rsid w:val="00664A35"/>
    <w:rsid w:val="00674C03"/>
    <w:rsid w:val="00675A0E"/>
    <w:rsid w:val="00676449"/>
    <w:rsid w:val="00676B9F"/>
    <w:rsid w:val="00692DD1"/>
    <w:rsid w:val="00693F98"/>
    <w:rsid w:val="00696448"/>
    <w:rsid w:val="00697BE7"/>
    <w:rsid w:val="006A4B21"/>
    <w:rsid w:val="006A62FB"/>
    <w:rsid w:val="006B385F"/>
    <w:rsid w:val="006B75DF"/>
    <w:rsid w:val="006B7A23"/>
    <w:rsid w:val="006C42B4"/>
    <w:rsid w:val="006D2FE6"/>
    <w:rsid w:val="006D5047"/>
    <w:rsid w:val="006E3DF0"/>
    <w:rsid w:val="00702884"/>
    <w:rsid w:val="00704393"/>
    <w:rsid w:val="00705EAC"/>
    <w:rsid w:val="00706D2F"/>
    <w:rsid w:val="007076B6"/>
    <w:rsid w:val="007101BD"/>
    <w:rsid w:val="00711A45"/>
    <w:rsid w:val="00720684"/>
    <w:rsid w:val="00722510"/>
    <w:rsid w:val="007233FF"/>
    <w:rsid w:val="007237E7"/>
    <w:rsid w:val="00726337"/>
    <w:rsid w:val="007309D4"/>
    <w:rsid w:val="007343E1"/>
    <w:rsid w:val="00734A5B"/>
    <w:rsid w:val="00735F26"/>
    <w:rsid w:val="00741D80"/>
    <w:rsid w:val="007469A7"/>
    <w:rsid w:val="0075256E"/>
    <w:rsid w:val="007525A0"/>
    <w:rsid w:val="00756BC4"/>
    <w:rsid w:val="00757361"/>
    <w:rsid w:val="00761233"/>
    <w:rsid w:val="00767F89"/>
    <w:rsid w:val="00770131"/>
    <w:rsid w:val="00771EC8"/>
    <w:rsid w:val="00776A5B"/>
    <w:rsid w:val="0078182A"/>
    <w:rsid w:val="00784C1D"/>
    <w:rsid w:val="0079057C"/>
    <w:rsid w:val="007A0E00"/>
    <w:rsid w:val="007B0310"/>
    <w:rsid w:val="007B157C"/>
    <w:rsid w:val="007C6FBC"/>
    <w:rsid w:val="007D1103"/>
    <w:rsid w:val="007D1CE9"/>
    <w:rsid w:val="007D27F6"/>
    <w:rsid w:val="007E1795"/>
    <w:rsid w:val="007E4E2E"/>
    <w:rsid w:val="007F2852"/>
    <w:rsid w:val="008014A6"/>
    <w:rsid w:val="008014BB"/>
    <w:rsid w:val="00811035"/>
    <w:rsid w:val="00811342"/>
    <w:rsid w:val="0082092B"/>
    <w:rsid w:val="00821190"/>
    <w:rsid w:val="00821CC0"/>
    <w:rsid w:val="00825667"/>
    <w:rsid w:val="00825684"/>
    <w:rsid w:val="008269D1"/>
    <w:rsid w:val="008404B8"/>
    <w:rsid w:val="008428A9"/>
    <w:rsid w:val="00845CCB"/>
    <w:rsid w:val="00846707"/>
    <w:rsid w:val="00850B29"/>
    <w:rsid w:val="00854279"/>
    <w:rsid w:val="00855C74"/>
    <w:rsid w:val="00856046"/>
    <w:rsid w:val="0086234F"/>
    <w:rsid w:val="00866CBC"/>
    <w:rsid w:val="00871190"/>
    <w:rsid w:val="008717E8"/>
    <w:rsid w:val="00874A9B"/>
    <w:rsid w:val="00877EBB"/>
    <w:rsid w:val="008928ED"/>
    <w:rsid w:val="00897CA3"/>
    <w:rsid w:val="008A0567"/>
    <w:rsid w:val="008B0071"/>
    <w:rsid w:val="008B012F"/>
    <w:rsid w:val="008B04EE"/>
    <w:rsid w:val="008B5B87"/>
    <w:rsid w:val="008C03C8"/>
    <w:rsid w:val="008C1A32"/>
    <w:rsid w:val="008C330A"/>
    <w:rsid w:val="008C3C60"/>
    <w:rsid w:val="008C4E84"/>
    <w:rsid w:val="008C5BC9"/>
    <w:rsid w:val="008D455A"/>
    <w:rsid w:val="008E003D"/>
    <w:rsid w:val="008E0DD1"/>
    <w:rsid w:val="008E2D90"/>
    <w:rsid w:val="008F6660"/>
    <w:rsid w:val="008F7A7C"/>
    <w:rsid w:val="00904899"/>
    <w:rsid w:val="009068C8"/>
    <w:rsid w:val="0091049C"/>
    <w:rsid w:val="00911819"/>
    <w:rsid w:val="0091706B"/>
    <w:rsid w:val="00917897"/>
    <w:rsid w:val="0092052E"/>
    <w:rsid w:val="0093002B"/>
    <w:rsid w:val="00934B24"/>
    <w:rsid w:val="009366D5"/>
    <w:rsid w:val="009377D6"/>
    <w:rsid w:val="00951375"/>
    <w:rsid w:val="00976838"/>
    <w:rsid w:val="00985C93"/>
    <w:rsid w:val="0098736A"/>
    <w:rsid w:val="00990F69"/>
    <w:rsid w:val="00996404"/>
    <w:rsid w:val="009A2EC6"/>
    <w:rsid w:val="009A4C34"/>
    <w:rsid w:val="009A568D"/>
    <w:rsid w:val="009B25E8"/>
    <w:rsid w:val="009C08C8"/>
    <w:rsid w:val="009C0F02"/>
    <w:rsid w:val="009C28DB"/>
    <w:rsid w:val="009C5CAE"/>
    <w:rsid w:val="009D5EAD"/>
    <w:rsid w:val="009D7F69"/>
    <w:rsid w:val="009E0BBB"/>
    <w:rsid w:val="009F454E"/>
    <w:rsid w:val="00A00A19"/>
    <w:rsid w:val="00A04885"/>
    <w:rsid w:val="00A06D57"/>
    <w:rsid w:val="00A0764F"/>
    <w:rsid w:val="00A10B89"/>
    <w:rsid w:val="00A114D3"/>
    <w:rsid w:val="00A12253"/>
    <w:rsid w:val="00A12FB6"/>
    <w:rsid w:val="00A17879"/>
    <w:rsid w:val="00A21340"/>
    <w:rsid w:val="00A21CB1"/>
    <w:rsid w:val="00A23660"/>
    <w:rsid w:val="00A264E7"/>
    <w:rsid w:val="00A31FC0"/>
    <w:rsid w:val="00A325D2"/>
    <w:rsid w:val="00A35FED"/>
    <w:rsid w:val="00A36DA7"/>
    <w:rsid w:val="00A41B2E"/>
    <w:rsid w:val="00A44D9C"/>
    <w:rsid w:val="00A51FBF"/>
    <w:rsid w:val="00A55581"/>
    <w:rsid w:val="00A557BC"/>
    <w:rsid w:val="00A65909"/>
    <w:rsid w:val="00A71CA1"/>
    <w:rsid w:val="00A73E73"/>
    <w:rsid w:val="00A74341"/>
    <w:rsid w:val="00A74640"/>
    <w:rsid w:val="00A763B9"/>
    <w:rsid w:val="00A81C70"/>
    <w:rsid w:val="00A83DDA"/>
    <w:rsid w:val="00A90AF3"/>
    <w:rsid w:val="00A91768"/>
    <w:rsid w:val="00A952FD"/>
    <w:rsid w:val="00AA1C11"/>
    <w:rsid w:val="00AA1D73"/>
    <w:rsid w:val="00AA460C"/>
    <w:rsid w:val="00AB3AE4"/>
    <w:rsid w:val="00AB5581"/>
    <w:rsid w:val="00AB6450"/>
    <w:rsid w:val="00AB73C8"/>
    <w:rsid w:val="00AC18B3"/>
    <w:rsid w:val="00AC3E25"/>
    <w:rsid w:val="00AD66A7"/>
    <w:rsid w:val="00AE18DB"/>
    <w:rsid w:val="00AE7EAE"/>
    <w:rsid w:val="00AF14E1"/>
    <w:rsid w:val="00AF79FC"/>
    <w:rsid w:val="00B0287A"/>
    <w:rsid w:val="00B065DA"/>
    <w:rsid w:val="00B1215D"/>
    <w:rsid w:val="00B1623C"/>
    <w:rsid w:val="00B21E1C"/>
    <w:rsid w:val="00B24026"/>
    <w:rsid w:val="00B247F9"/>
    <w:rsid w:val="00B2692A"/>
    <w:rsid w:val="00B32304"/>
    <w:rsid w:val="00B33D88"/>
    <w:rsid w:val="00B34624"/>
    <w:rsid w:val="00B36026"/>
    <w:rsid w:val="00B4004A"/>
    <w:rsid w:val="00B43A79"/>
    <w:rsid w:val="00B44C79"/>
    <w:rsid w:val="00B46FAD"/>
    <w:rsid w:val="00B479BB"/>
    <w:rsid w:val="00B571E9"/>
    <w:rsid w:val="00B71113"/>
    <w:rsid w:val="00B713D2"/>
    <w:rsid w:val="00B75CEA"/>
    <w:rsid w:val="00B818CE"/>
    <w:rsid w:val="00B8199F"/>
    <w:rsid w:val="00B82000"/>
    <w:rsid w:val="00B835D5"/>
    <w:rsid w:val="00B83D1A"/>
    <w:rsid w:val="00B83E59"/>
    <w:rsid w:val="00B852D6"/>
    <w:rsid w:val="00B869CE"/>
    <w:rsid w:val="00B91471"/>
    <w:rsid w:val="00B9460B"/>
    <w:rsid w:val="00BA20F0"/>
    <w:rsid w:val="00BB0E25"/>
    <w:rsid w:val="00BB2BD7"/>
    <w:rsid w:val="00BB5BED"/>
    <w:rsid w:val="00BB67F4"/>
    <w:rsid w:val="00BC0989"/>
    <w:rsid w:val="00BC17C8"/>
    <w:rsid w:val="00BD04A0"/>
    <w:rsid w:val="00BD1690"/>
    <w:rsid w:val="00BD3BE2"/>
    <w:rsid w:val="00BD4DF8"/>
    <w:rsid w:val="00BE0833"/>
    <w:rsid w:val="00BE18D0"/>
    <w:rsid w:val="00BF18FB"/>
    <w:rsid w:val="00BF3BC3"/>
    <w:rsid w:val="00BF4A85"/>
    <w:rsid w:val="00BF6E96"/>
    <w:rsid w:val="00BF7700"/>
    <w:rsid w:val="00C0641B"/>
    <w:rsid w:val="00C07DF3"/>
    <w:rsid w:val="00C170F9"/>
    <w:rsid w:val="00C2223F"/>
    <w:rsid w:val="00C22A01"/>
    <w:rsid w:val="00C22C54"/>
    <w:rsid w:val="00C3277B"/>
    <w:rsid w:val="00C47EAC"/>
    <w:rsid w:val="00C50118"/>
    <w:rsid w:val="00C60B16"/>
    <w:rsid w:val="00C63603"/>
    <w:rsid w:val="00C66BC6"/>
    <w:rsid w:val="00C742E5"/>
    <w:rsid w:val="00C7480D"/>
    <w:rsid w:val="00C75394"/>
    <w:rsid w:val="00C77485"/>
    <w:rsid w:val="00C87145"/>
    <w:rsid w:val="00C9602A"/>
    <w:rsid w:val="00CA3333"/>
    <w:rsid w:val="00CA3A2C"/>
    <w:rsid w:val="00CA609E"/>
    <w:rsid w:val="00CB35FC"/>
    <w:rsid w:val="00CB42FE"/>
    <w:rsid w:val="00CC0757"/>
    <w:rsid w:val="00CC10FC"/>
    <w:rsid w:val="00CC321C"/>
    <w:rsid w:val="00CC4E61"/>
    <w:rsid w:val="00CC5935"/>
    <w:rsid w:val="00CC67D7"/>
    <w:rsid w:val="00CD219A"/>
    <w:rsid w:val="00CD3BA6"/>
    <w:rsid w:val="00CD574A"/>
    <w:rsid w:val="00CE2207"/>
    <w:rsid w:val="00CF0E49"/>
    <w:rsid w:val="00CF6A8C"/>
    <w:rsid w:val="00CF706F"/>
    <w:rsid w:val="00D17C05"/>
    <w:rsid w:val="00D273CC"/>
    <w:rsid w:val="00D31192"/>
    <w:rsid w:val="00D314AB"/>
    <w:rsid w:val="00D334E5"/>
    <w:rsid w:val="00D336C6"/>
    <w:rsid w:val="00D34F14"/>
    <w:rsid w:val="00D35F7A"/>
    <w:rsid w:val="00D42530"/>
    <w:rsid w:val="00D42AD2"/>
    <w:rsid w:val="00D43BE7"/>
    <w:rsid w:val="00D46BEC"/>
    <w:rsid w:val="00D56D03"/>
    <w:rsid w:val="00D61A3B"/>
    <w:rsid w:val="00D67498"/>
    <w:rsid w:val="00D714DC"/>
    <w:rsid w:val="00D74520"/>
    <w:rsid w:val="00D75664"/>
    <w:rsid w:val="00D857F0"/>
    <w:rsid w:val="00D86B0C"/>
    <w:rsid w:val="00D87740"/>
    <w:rsid w:val="00D900AA"/>
    <w:rsid w:val="00D96A34"/>
    <w:rsid w:val="00DA56A8"/>
    <w:rsid w:val="00DA6DCD"/>
    <w:rsid w:val="00DB0E65"/>
    <w:rsid w:val="00DB1B17"/>
    <w:rsid w:val="00DB51E4"/>
    <w:rsid w:val="00DB6636"/>
    <w:rsid w:val="00DB67BE"/>
    <w:rsid w:val="00DC12A1"/>
    <w:rsid w:val="00DD12F1"/>
    <w:rsid w:val="00DD3FFA"/>
    <w:rsid w:val="00DD45CE"/>
    <w:rsid w:val="00DE16BC"/>
    <w:rsid w:val="00DE42CD"/>
    <w:rsid w:val="00DF5070"/>
    <w:rsid w:val="00E041DE"/>
    <w:rsid w:val="00E100F6"/>
    <w:rsid w:val="00E12391"/>
    <w:rsid w:val="00E146F4"/>
    <w:rsid w:val="00E151EB"/>
    <w:rsid w:val="00E15553"/>
    <w:rsid w:val="00E2054D"/>
    <w:rsid w:val="00E21251"/>
    <w:rsid w:val="00E32457"/>
    <w:rsid w:val="00E349BB"/>
    <w:rsid w:val="00E37399"/>
    <w:rsid w:val="00E42553"/>
    <w:rsid w:val="00E449AD"/>
    <w:rsid w:val="00E45F50"/>
    <w:rsid w:val="00E56BA1"/>
    <w:rsid w:val="00E6098A"/>
    <w:rsid w:val="00E7003D"/>
    <w:rsid w:val="00E707A3"/>
    <w:rsid w:val="00E70B87"/>
    <w:rsid w:val="00E73B90"/>
    <w:rsid w:val="00E82024"/>
    <w:rsid w:val="00E92FB4"/>
    <w:rsid w:val="00E946B2"/>
    <w:rsid w:val="00E95D1C"/>
    <w:rsid w:val="00EA13DF"/>
    <w:rsid w:val="00EA2222"/>
    <w:rsid w:val="00EA6D36"/>
    <w:rsid w:val="00EB046D"/>
    <w:rsid w:val="00EB24F3"/>
    <w:rsid w:val="00EB4EF4"/>
    <w:rsid w:val="00EB5928"/>
    <w:rsid w:val="00EB5ADF"/>
    <w:rsid w:val="00EC0CE5"/>
    <w:rsid w:val="00EC284B"/>
    <w:rsid w:val="00ED3034"/>
    <w:rsid w:val="00EE3398"/>
    <w:rsid w:val="00EE395A"/>
    <w:rsid w:val="00EE53CE"/>
    <w:rsid w:val="00EF1F42"/>
    <w:rsid w:val="00EF4889"/>
    <w:rsid w:val="00EF55B4"/>
    <w:rsid w:val="00F00CC0"/>
    <w:rsid w:val="00F01BF3"/>
    <w:rsid w:val="00F04228"/>
    <w:rsid w:val="00F146D3"/>
    <w:rsid w:val="00F165F1"/>
    <w:rsid w:val="00F3311F"/>
    <w:rsid w:val="00F444EB"/>
    <w:rsid w:val="00F555F4"/>
    <w:rsid w:val="00F600FA"/>
    <w:rsid w:val="00F616D2"/>
    <w:rsid w:val="00F6299D"/>
    <w:rsid w:val="00F64436"/>
    <w:rsid w:val="00F720EC"/>
    <w:rsid w:val="00F74432"/>
    <w:rsid w:val="00F900F3"/>
    <w:rsid w:val="00F920B3"/>
    <w:rsid w:val="00F94645"/>
    <w:rsid w:val="00F94B4C"/>
    <w:rsid w:val="00F94B75"/>
    <w:rsid w:val="00F94EDA"/>
    <w:rsid w:val="00FA1711"/>
    <w:rsid w:val="00FA19BD"/>
    <w:rsid w:val="00FB13F0"/>
    <w:rsid w:val="00FB395D"/>
    <w:rsid w:val="00FB436C"/>
    <w:rsid w:val="00FB7F7D"/>
    <w:rsid w:val="00FC2CEE"/>
    <w:rsid w:val="00FC49A3"/>
    <w:rsid w:val="00FC66B6"/>
    <w:rsid w:val="00FD0EC9"/>
    <w:rsid w:val="00FD3BAE"/>
    <w:rsid w:val="00FD6CB6"/>
    <w:rsid w:val="00FF2A47"/>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F62EB2"/>
  <w15:docId w15:val="{AA1313DB-A176-4289-8270-30B980EC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rsid w:val="00B818CE"/>
    <w:pPr>
      <w:keepNext/>
      <w:outlineLvl w:val="0"/>
    </w:pPr>
    <w:rPr>
      <w:rFonts w:ascii="Arial" w:hAnsi="Arial"/>
      <w:b/>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line="360" w:lineRule="auto"/>
      <w:outlineLvl w:val="4"/>
    </w:pPr>
    <w:rPr>
      <w:rFonts w:ascii="Arial" w:hAnsi="Arial"/>
      <w:b/>
      <w:color w:val="000000"/>
      <w:sz w:val="16"/>
    </w:rPr>
  </w:style>
  <w:style w:type="paragraph" w:styleId="Heading6">
    <w:name w:val="heading 6"/>
    <w:basedOn w:val="Normal"/>
    <w:next w:val="Normal"/>
    <w:qFormat/>
    <w:pPr>
      <w:keepNext/>
      <w:outlineLvl w:val="5"/>
    </w:pPr>
    <w:rPr>
      <w:rFonts w:ascii="Arial" w:hAnsi="Arial"/>
      <w:b/>
      <w:color w:val="000000"/>
      <w:u w:val="single"/>
    </w:rPr>
  </w:style>
  <w:style w:type="paragraph" w:styleId="Heading7">
    <w:name w:val="heading 7"/>
    <w:basedOn w:val="Normal"/>
    <w:next w:val="Normal"/>
    <w:qFormat/>
    <w:pPr>
      <w:keepNext/>
      <w:outlineLvl w:val="6"/>
    </w:pPr>
    <w:rPr>
      <w:rFonts w:ascii="Arial" w:hAnsi="Arial"/>
      <w:b/>
      <w:color w:val="000000"/>
      <w:sz w:val="22"/>
    </w:rPr>
  </w:style>
  <w:style w:type="paragraph" w:styleId="Heading8">
    <w:name w:val="heading 8"/>
    <w:basedOn w:val="Normal"/>
    <w:next w:val="Normal"/>
    <w:qFormat/>
    <w:pPr>
      <w:keepNext/>
      <w:ind w:left="420"/>
      <w:jc w:val="center"/>
      <w:outlineLvl w:val="7"/>
    </w:pPr>
    <w:rPr>
      <w:sz w:val="40"/>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0"/>
    </w:pPr>
  </w:style>
  <w:style w:type="paragraph" w:styleId="BodyTextIndent2">
    <w:name w:val="Body Text Indent 2"/>
    <w:basedOn w:val="Normal"/>
    <w:pPr>
      <w:ind w:left="720"/>
    </w:pPr>
  </w:style>
  <w:style w:type="paragraph" w:styleId="BodyText">
    <w:name w:val="Body Text"/>
    <w:basedOn w:val="Normal"/>
    <w:rPr>
      <w:rFonts w:ascii="Arial" w:hAnsi="Arial"/>
      <w:color w:val="000000"/>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rsid w:val="00B835D5"/>
    <w:pPr>
      <w:tabs>
        <w:tab w:val="left" w:pos="3780"/>
        <w:tab w:val="left" w:pos="7200"/>
        <w:tab w:val="left" w:pos="8460"/>
      </w:tabs>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2">
    <w:name w:val="Body Text 2"/>
    <w:basedOn w:val="Normal"/>
    <w:rPr>
      <w:rFonts w:ascii="Comic Sans MS" w:hAnsi="Comic Sans MS"/>
      <w:sz w:val="40"/>
    </w:rPr>
  </w:style>
  <w:style w:type="paragraph" w:styleId="BodyText3">
    <w:name w:val="Body Text 3"/>
    <w:basedOn w:val="Normal"/>
    <w:pPr>
      <w:jc w:val="center"/>
    </w:pPr>
    <w:rPr>
      <w:rFonts w:ascii="Comic Sans MS" w:hAnsi="Comic Sans MS"/>
      <w:sz w:val="52"/>
    </w:rPr>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PlainText">
    <w:name w:val="Plain Text"/>
    <w:basedOn w:val="Normal"/>
    <w:rPr>
      <w:rFonts w:ascii="Courier New" w:hAnsi="Courier New" w:cs="Webdings"/>
      <w:sz w:val="20"/>
      <w:szCs w:val="20"/>
    </w:rPr>
  </w:style>
  <w:style w:type="paragraph" w:styleId="Header">
    <w:name w:val="header"/>
    <w:basedOn w:val="Normal"/>
    <w:pPr>
      <w:tabs>
        <w:tab w:val="center" w:pos="4153"/>
        <w:tab w:val="right" w:pos="8306"/>
      </w:tabs>
    </w:pPr>
  </w:style>
  <w:style w:type="table" w:styleId="TableGrid">
    <w:name w:val="Table Grid"/>
    <w:basedOn w:val="TableNormal"/>
    <w:rsid w:val="00A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1D73"/>
    <w:rPr>
      <w:rFonts w:ascii="Tahoma" w:hAnsi="Tahoma" w:cs="Tahoma"/>
      <w:sz w:val="16"/>
      <w:szCs w:val="16"/>
    </w:rPr>
  </w:style>
  <w:style w:type="paragraph" w:styleId="ListParagraph">
    <w:name w:val="List Paragraph"/>
    <w:basedOn w:val="Normal"/>
    <w:uiPriority w:val="34"/>
    <w:qFormat/>
    <w:rsid w:val="00F94EDA"/>
    <w:pPr>
      <w:ind w:left="720"/>
      <w:contextualSpacing/>
    </w:pPr>
  </w:style>
  <w:style w:type="character" w:customStyle="1" w:styleId="FooterChar">
    <w:name w:val="Footer Char"/>
    <w:basedOn w:val="DefaultParagraphFont"/>
    <w:link w:val="Footer"/>
    <w:uiPriority w:val="99"/>
    <w:rsid w:val="00374D92"/>
    <w:rPr>
      <w:sz w:val="24"/>
      <w:szCs w:val="24"/>
      <w:lang w:val="en-GB"/>
    </w:rPr>
  </w:style>
  <w:style w:type="character" w:styleId="CommentReference">
    <w:name w:val="annotation reference"/>
    <w:basedOn w:val="DefaultParagraphFont"/>
    <w:rsid w:val="00620BD1"/>
    <w:rPr>
      <w:sz w:val="16"/>
      <w:szCs w:val="16"/>
    </w:rPr>
  </w:style>
  <w:style w:type="paragraph" w:styleId="CommentText">
    <w:name w:val="annotation text"/>
    <w:basedOn w:val="Normal"/>
    <w:link w:val="CommentTextChar"/>
    <w:rsid w:val="00620BD1"/>
    <w:rPr>
      <w:sz w:val="20"/>
      <w:szCs w:val="20"/>
    </w:rPr>
  </w:style>
  <w:style w:type="character" w:customStyle="1" w:styleId="CommentTextChar">
    <w:name w:val="Comment Text Char"/>
    <w:basedOn w:val="DefaultParagraphFont"/>
    <w:link w:val="CommentText"/>
    <w:rsid w:val="00620BD1"/>
    <w:rPr>
      <w:lang w:val="en-GB"/>
    </w:rPr>
  </w:style>
  <w:style w:type="paragraph" w:styleId="CommentSubject">
    <w:name w:val="annotation subject"/>
    <w:basedOn w:val="CommentText"/>
    <w:next w:val="CommentText"/>
    <w:link w:val="CommentSubjectChar"/>
    <w:rsid w:val="00620BD1"/>
    <w:rPr>
      <w:b/>
      <w:bCs/>
    </w:rPr>
  </w:style>
  <w:style w:type="character" w:customStyle="1" w:styleId="CommentSubjectChar">
    <w:name w:val="Comment Subject Char"/>
    <w:basedOn w:val="CommentTextChar"/>
    <w:link w:val="CommentSubject"/>
    <w:rsid w:val="00620BD1"/>
    <w:rPr>
      <w:b/>
      <w:bCs/>
      <w:lang w:val="en-GB"/>
    </w:rPr>
  </w:style>
  <w:style w:type="paragraph" w:styleId="TOCHeading">
    <w:name w:val="TOC Heading"/>
    <w:basedOn w:val="Heading1"/>
    <w:next w:val="Normal"/>
    <w:uiPriority w:val="39"/>
    <w:unhideWhenUsed/>
    <w:qFormat/>
    <w:rsid w:val="005A3AB3"/>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7">
      <w:bodyDiv w:val="1"/>
      <w:marLeft w:val="0"/>
      <w:marRight w:val="0"/>
      <w:marTop w:val="0"/>
      <w:marBottom w:val="0"/>
      <w:divBdr>
        <w:top w:val="none" w:sz="0" w:space="0" w:color="auto"/>
        <w:left w:val="none" w:sz="0" w:space="0" w:color="auto"/>
        <w:bottom w:val="none" w:sz="0" w:space="0" w:color="auto"/>
        <w:right w:val="none" w:sz="0" w:space="0" w:color="auto"/>
      </w:divBdr>
    </w:div>
    <w:div w:id="62460592">
      <w:bodyDiv w:val="1"/>
      <w:marLeft w:val="0"/>
      <w:marRight w:val="0"/>
      <w:marTop w:val="0"/>
      <w:marBottom w:val="0"/>
      <w:divBdr>
        <w:top w:val="none" w:sz="0" w:space="0" w:color="auto"/>
        <w:left w:val="none" w:sz="0" w:space="0" w:color="auto"/>
        <w:bottom w:val="none" w:sz="0" w:space="0" w:color="auto"/>
        <w:right w:val="none" w:sz="0" w:space="0" w:color="auto"/>
      </w:divBdr>
    </w:div>
    <w:div w:id="231700931">
      <w:bodyDiv w:val="1"/>
      <w:marLeft w:val="0"/>
      <w:marRight w:val="0"/>
      <w:marTop w:val="0"/>
      <w:marBottom w:val="0"/>
      <w:divBdr>
        <w:top w:val="none" w:sz="0" w:space="0" w:color="auto"/>
        <w:left w:val="none" w:sz="0" w:space="0" w:color="auto"/>
        <w:bottom w:val="none" w:sz="0" w:space="0" w:color="auto"/>
        <w:right w:val="none" w:sz="0" w:space="0" w:color="auto"/>
      </w:divBdr>
    </w:div>
    <w:div w:id="531267465">
      <w:bodyDiv w:val="1"/>
      <w:marLeft w:val="0"/>
      <w:marRight w:val="0"/>
      <w:marTop w:val="0"/>
      <w:marBottom w:val="0"/>
      <w:divBdr>
        <w:top w:val="none" w:sz="0" w:space="0" w:color="auto"/>
        <w:left w:val="none" w:sz="0" w:space="0" w:color="auto"/>
        <w:bottom w:val="none" w:sz="0" w:space="0" w:color="auto"/>
        <w:right w:val="none" w:sz="0" w:space="0" w:color="auto"/>
      </w:divBdr>
    </w:div>
    <w:div w:id="1012681631">
      <w:bodyDiv w:val="1"/>
      <w:marLeft w:val="0"/>
      <w:marRight w:val="0"/>
      <w:marTop w:val="0"/>
      <w:marBottom w:val="0"/>
      <w:divBdr>
        <w:top w:val="none" w:sz="0" w:space="0" w:color="auto"/>
        <w:left w:val="none" w:sz="0" w:space="0" w:color="auto"/>
        <w:bottom w:val="none" w:sz="0" w:space="0" w:color="auto"/>
        <w:right w:val="none" w:sz="0" w:space="0" w:color="auto"/>
      </w:divBdr>
    </w:div>
    <w:div w:id="1479955663">
      <w:bodyDiv w:val="1"/>
      <w:marLeft w:val="0"/>
      <w:marRight w:val="0"/>
      <w:marTop w:val="0"/>
      <w:marBottom w:val="0"/>
      <w:divBdr>
        <w:top w:val="none" w:sz="0" w:space="0" w:color="auto"/>
        <w:left w:val="none" w:sz="0" w:space="0" w:color="auto"/>
        <w:bottom w:val="none" w:sz="0" w:space="0" w:color="auto"/>
        <w:right w:val="none" w:sz="0" w:space="0" w:color="auto"/>
      </w:divBdr>
    </w:div>
    <w:div w:id="1520194071">
      <w:bodyDiv w:val="1"/>
      <w:marLeft w:val="0"/>
      <w:marRight w:val="0"/>
      <w:marTop w:val="0"/>
      <w:marBottom w:val="0"/>
      <w:divBdr>
        <w:top w:val="none" w:sz="0" w:space="0" w:color="auto"/>
        <w:left w:val="none" w:sz="0" w:space="0" w:color="auto"/>
        <w:bottom w:val="none" w:sz="0" w:space="0" w:color="auto"/>
        <w:right w:val="none" w:sz="0" w:space="0" w:color="auto"/>
      </w:divBdr>
    </w:div>
    <w:div w:id="1639720455">
      <w:bodyDiv w:val="1"/>
      <w:marLeft w:val="0"/>
      <w:marRight w:val="0"/>
      <w:marTop w:val="0"/>
      <w:marBottom w:val="0"/>
      <w:divBdr>
        <w:top w:val="none" w:sz="0" w:space="0" w:color="auto"/>
        <w:left w:val="none" w:sz="0" w:space="0" w:color="auto"/>
        <w:bottom w:val="none" w:sz="0" w:space="0" w:color="auto"/>
        <w:right w:val="none" w:sz="0" w:space="0" w:color="auto"/>
      </w:divBdr>
    </w:div>
    <w:div w:id="1809668277">
      <w:bodyDiv w:val="1"/>
      <w:marLeft w:val="0"/>
      <w:marRight w:val="0"/>
      <w:marTop w:val="0"/>
      <w:marBottom w:val="0"/>
      <w:divBdr>
        <w:top w:val="none" w:sz="0" w:space="0" w:color="auto"/>
        <w:left w:val="none" w:sz="0" w:space="0" w:color="auto"/>
        <w:bottom w:val="none" w:sz="0" w:space="0" w:color="auto"/>
        <w:right w:val="none" w:sz="0" w:space="0" w:color="auto"/>
      </w:divBdr>
    </w:div>
    <w:div w:id="21163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lpc.org.uk/wp-content/uploads/sites/66/2013/10/HCC201612-Varenicline-PGD-FINAL-01.12.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rtslpc.org.uk/wp-content/uploads/sites/66/2013/10/Varencline-PGD-Pharmacist-letter-to-patients-GP.doc" TargetMode="External"/><Relationship Id="rId4" Type="http://schemas.openxmlformats.org/officeDocument/2006/relationships/settings" Target="settings.xml"/><Relationship Id="rId9" Type="http://schemas.openxmlformats.org/officeDocument/2006/relationships/hyperlink" Target="http://www.hertslpc.org.uk/wp-content/uploads/sites/66/2013/10/HCC201612-Varenicline-PGD-FINAL-01.12.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4DE1-58A4-4D90-ADBF-C1AC8848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1896</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Hewlett-Packard Company</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paul</dc:creator>
  <cp:lastModifiedBy>HLPC</cp:lastModifiedBy>
  <cp:revision>5</cp:revision>
  <cp:lastPrinted>2015-11-05T16:01:00Z</cp:lastPrinted>
  <dcterms:created xsi:type="dcterms:W3CDTF">2016-12-20T09:00:00Z</dcterms:created>
  <dcterms:modified xsi:type="dcterms:W3CDTF">2016-12-23T09:08:00Z</dcterms:modified>
</cp:coreProperties>
</file>